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3F35FE6">
      <w:pPr>
        <w:rPr>
          <w:rFonts w:hint="eastAsia" w:ascii="黑体" w:hAnsi="黑体" w:eastAsia="黑体"/>
          <w:sz w:val="32"/>
          <w:szCs w:val="32"/>
        </w:rPr>
      </w:pPr>
    </w:p>
    <w:p w14:paraId="4AB2C183">
      <w:pPr>
        <w:jc w:val="center"/>
        <w:rPr>
          <w:rFonts w:hint="eastAsia" w:ascii="方正小标宋_GBK" w:hAnsi="宋体" w:eastAsia="方正小标宋_GBK"/>
          <w:sz w:val="44"/>
          <w:szCs w:val="44"/>
        </w:rPr>
      </w:pPr>
    </w:p>
    <w:p w14:paraId="46B698F4">
      <w:pPr>
        <w:jc w:val="center"/>
        <w:rPr>
          <w:rFonts w:hint="eastAsia" w:ascii="方正小标宋_GBK" w:hAnsi="宋体" w:eastAsia="方正小标宋_GBK"/>
          <w:sz w:val="44"/>
          <w:szCs w:val="44"/>
        </w:rPr>
      </w:pPr>
      <w:r>
        <w:rPr>
          <w:rFonts w:hint="eastAsia" w:ascii="方正小标宋_GBK" w:hAnsi="宋体" w:eastAsia="方正小标宋_GBK"/>
          <w:sz w:val="44"/>
          <w:szCs w:val="44"/>
        </w:rPr>
        <w:t>木垒哈萨克自治县纪律检查委员会</w:t>
      </w:r>
    </w:p>
    <w:p w14:paraId="6616A4BA">
      <w:pPr>
        <w:jc w:val="center"/>
        <w:rPr>
          <w:rFonts w:hint="eastAsia" w:ascii="方正小标宋_GBK" w:hAnsi="宋体" w:eastAsia="方正小标宋_GBK"/>
          <w:sz w:val="44"/>
          <w:szCs w:val="44"/>
        </w:rPr>
      </w:pPr>
      <w:r>
        <w:rPr>
          <w:rFonts w:hint="eastAsia" w:ascii="方正小标宋_GBK" w:hAnsi="宋体" w:eastAsia="方正小标宋_GBK"/>
          <w:sz w:val="44"/>
          <w:szCs w:val="44"/>
        </w:rPr>
        <w:t xml:space="preserve"> 2023年度部门决算</w:t>
      </w:r>
    </w:p>
    <w:p w14:paraId="0DBA567B">
      <w:pPr>
        <w:jc w:val="center"/>
        <w:rPr>
          <w:rFonts w:hint="eastAsia" w:ascii="方正小标宋_GBK" w:hAnsi="宋体" w:eastAsia="方正小标宋_GBK"/>
          <w:sz w:val="44"/>
          <w:szCs w:val="44"/>
        </w:rPr>
      </w:pPr>
      <w:r>
        <w:rPr>
          <w:rFonts w:hint="eastAsia" w:ascii="方正小标宋_GBK" w:hAnsi="宋体" w:eastAsia="方正小标宋_GBK"/>
          <w:sz w:val="44"/>
          <w:szCs w:val="44"/>
        </w:rPr>
        <w:t>公开说明</w:t>
      </w:r>
    </w:p>
    <w:p w14:paraId="4094572B">
      <w:pPr>
        <w:rPr>
          <w:rFonts w:hint="eastAsia" w:ascii="方正小标宋_GBK" w:hAnsi="宋体" w:eastAsia="方正小标宋_GBK"/>
          <w:sz w:val="44"/>
          <w:szCs w:val="44"/>
        </w:rPr>
      </w:pPr>
      <w:r>
        <w:rPr>
          <w:rFonts w:hint="eastAsia" w:ascii="方正小标宋_GBK" w:hAnsi="宋体" w:eastAsia="方正小标宋_GBK"/>
          <w:sz w:val="44"/>
          <w:szCs w:val="44"/>
        </w:rPr>
        <w:br w:type="page"/>
      </w:r>
    </w:p>
    <w:p w14:paraId="15E0E617">
      <w:pPr>
        <w:jc w:val="center"/>
        <w:rPr>
          <w:rFonts w:hint="eastAsia" w:ascii="仿宋_GB2312" w:hAnsi="仿宋_GB2312" w:eastAsia="仿宋_GB2312" w:cs="仿宋_GB2312"/>
          <w:bCs/>
          <w:kern w:val="0"/>
          <w:sz w:val="32"/>
          <w:szCs w:val="32"/>
        </w:rPr>
      </w:pPr>
      <w:r>
        <w:rPr>
          <w:rFonts w:hint="eastAsia" w:ascii="仿宋_GB2312" w:hAnsi="仿宋_GB2312" w:eastAsia="仿宋_GB2312" w:cs="仿宋_GB2312"/>
          <w:b/>
          <w:kern w:val="0"/>
          <w:sz w:val="36"/>
          <w:szCs w:val="36"/>
        </w:rPr>
        <w:t>目  录</w:t>
      </w:r>
    </w:p>
    <w:p w14:paraId="6FE7AF2F">
      <w:pPr>
        <w:pStyle w:val="6"/>
        <w:tabs>
          <w:tab w:val="right" w:pos="8306"/>
        </w:tabs>
        <w:rPr>
          <w:rFonts w:hint="eastAsia" w:ascii="仿宋_GB2312" w:hAnsi="仿宋_GB2312" w:eastAsia="仿宋_GB2312" w:cs="仿宋_GB2312"/>
          <w:b/>
          <w:bCs/>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"_Toc32314" </w:instrText>
      </w:r>
      <w:r>
        <w:fldChar w:fldCharType="separate"/>
      </w:r>
      <w:r>
        <w:rPr>
          <w:rFonts w:hint="eastAsia" w:ascii="仿宋_GB2312" w:hAnsi="仿宋_GB2312" w:eastAsia="仿宋_GB2312" w:cs="仿宋_GB2312"/>
          <w:b/>
          <w:bCs/>
          <w:sz w:val="32"/>
          <w:szCs w:val="32"/>
        </w:rPr>
        <w:t>第一部分 单位概况</w:t>
      </w:r>
      <w:r>
        <w:rPr>
          <w:rFonts w:hint="eastAsia" w:ascii="仿宋_GB2312" w:hAnsi="仿宋_GB2312" w:eastAsia="仿宋_GB2312" w:cs="仿宋_GB2312"/>
          <w:b/>
          <w:bCs/>
          <w:sz w:val="32"/>
          <w:szCs w:val="32"/>
        </w:rPr>
        <w:fldChar w:fldCharType="end"/>
      </w:r>
    </w:p>
    <w:p w14:paraId="26388C12">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"_Toc30567"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14:paraId="62625AE4">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"_Toc2151" </w:instrText>
      </w:r>
      <w:r>
        <w:fldChar w:fldCharType="separate"/>
      </w:r>
      <w:r>
        <w:rPr>
          <w:rFonts w:hint="eastAsia" w:ascii="仿宋_GB2312" w:hAnsi="仿宋_GB2312" w:eastAsia="仿宋_GB2312" w:cs="仿宋_GB2312"/>
          <w:bCs/>
          <w:kern w:val="0"/>
          <w:sz w:val="32"/>
          <w:szCs w:val="32"/>
        </w:rPr>
        <w:t>二、机构设置及人员情况</w:t>
      </w:r>
      <w:r>
        <w:rPr>
          <w:rFonts w:hint="eastAsia" w:ascii="仿宋_GB2312" w:hAnsi="仿宋_GB2312" w:eastAsia="仿宋_GB2312" w:cs="仿宋_GB2312"/>
          <w:bCs/>
          <w:kern w:val="0"/>
          <w:sz w:val="32"/>
          <w:szCs w:val="32"/>
        </w:rPr>
        <w:fldChar w:fldCharType="end"/>
      </w:r>
    </w:p>
    <w:p w14:paraId="7245BA30">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"_Toc29374"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14:paraId="7804A9B6">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"_Toc25314"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14:paraId="65EFA912">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"_Toc12142"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14:paraId="3635FE6B">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"_Toc13201"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14:paraId="506E1168">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"_Toc26564"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14:paraId="299EA803">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"_Toc20360"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14:paraId="46A03DC7">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"_Toc30870"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14:paraId="0C6EC819">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"_Toc21518" </w:instrText>
      </w:r>
      <w:r>
        <w:fldChar w:fldCharType="separate"/>
      </w:r>
      <w:r>
        <w:rPr>
          <w:rFonts w:hint="eastAsia" w:ascii="仿宋_GB2312" w:hAnsi="仿宋_GB2312" w:eastAsia="仿宋_GB2312" w:cs="仿宋_GB2312"/>
          <w:bCs/>
          <w:kern w:val="0"/>
          <w:sz w:val="32"/>
          <w:szCs w:val="32"/>
        </w:rPr>
        <w:t>七、财政拨款“三公”经费支出决算情况说明</w:t>
      </w:r>
      <w:r>
        <w:rPr>
          <w:rFonts w:hint="eastAsia" w:ascii="仿宋_GB2312" w:hAnsi="仿宋_GB2312" w:eastAsia="仿宋_GB2312" w:cs="仿宋_GB2312"/>
          <w:bCs/>
          <w:kern w:val="0"/>
          <w:sz w:val="32"/>
          <w:szCs w:val="32"/>
        </w:rPr>
        <w:fldChar w:fldCharType="end"/>
      </w:r>
    </w:p>
    <w:p w14:paraId="10FF2188">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八、政府性基金预算财政拨款收入支出决算情况说明</w:t>
      </w:r>
      <w:r>
        <w:rPr>
          <w:rFonts w:hint="eastAsia" w:ascii="仿宋_GB2312" w:hAnsi="仿宋_GB2312" w:eastAsia="仿宋_GB2312" w:cs="仿宋_GB2312"/>
          <w:bCs/>
          <w:kern w:val="0"/>
          <w:sz w:val="32"/>
          <w:szCs w:val="32"/>
        </w:rPr>
        <w:fldChar w:fldCharType="end"/>
      </w:r>
    </w:p>
    <w:p w14:paraId="26B60598">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九、国有资本经营预算财政拨款收入支出决算情况说明</w:t>
      </w:r>
      <w:r>
        <w:rPr>
          <w:rFonts w:hint="eastAsia" w:ascii="仿宋_GB2312" w:hAnsi="仿宋_GB2312" w:eastAsia="仿宋_GB2312" w:cs="仿宋_GB2312"/>
          <w:bCs/>
          <w:kern w:val="0"/>
          <w:sz w:val="32"/>
          <w:szCs w:val="32"/>
        </w:rPr>
        <w:fldChar w:fldCharType="end"/>
      </w:r>
    </w:p>
    <w:p w14:paraId="300171FC">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"_Toc1235" </w:instrText>
      </w:r>
      <w:r>
        <w:fldChar w:fldCharType="separate"/>
      </w:r>
      <w:r>
        <w:rPr>
          <w:rFonts w:hint="eastAsia" w:ascii="仿宋_GB2312" w:hAnsi="仿宋_GB2312" w:eastAsia="仿宋_GB2312" w:cs="仿宋_GB2312"/>
          <w:sz w:val="32"/>
          <w:szCs w:val="32"/>
        </w:rPr>
        <w:t>十</w:t>
      </w:r>
      <w:r>
        <w:rPr>
          <w:rFonts w:hint="eastAsia" w:ascii="仿宋_GB2312" w:hAnsi="仿宋_GB2312" w:eastAsia="仿宋_GB2312" w:cs="仿宋_GB2312"/>
          <w:bCs/>
          <w:kern w:val="0"/>
          <w:sz w:val="32"/>
          <w:szCs w:val="32"/>
        </w:rPr>
        <w:t>、其他重要事项的情况说明</w:t>
      </w:r>
      <w:r>
        <w:rPr>
          <w:rFonts w:hint="eastAsia" w:ascii="仿宋_GB2312" w:hAnsi="仿宋_GB2312" w:eastAsia="仿宋_GB2312" w:cs="仿宋_GB2312"/>
          <w:bCs/>
          <w:kern w:val="0"/>
          <w:sz w:val="32"/>
          <w:szCs w:val="32"/>
        </w:rPr>
        <w:fldChar w:fldCharType="end"/>
      </w:r>
    </w:p>
    <w:p w14:paraId="427E9B40">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"_Toc14519" </w:instrText>
      </w:r>
      <w:r>
        <w:fldChar w:fldCharType="separate"/>
      </w:r>
      <w:r>
        <w:rPr>
          <w:rFonts w:hint="eastAsia" w:ascii="仿宋_GB2312" w:hAnsi="仿宋_GB2312" w:eastAsia="仿宋_GB2312" w:cs="仿宋_GB2312"/>
          <w:sz w:val="32"/>
          <w:szCs w:val="32"/>
        </w:rPr>
        <w:t>（一）机关运行经费支出情况</w:t>
      </w:r>
      <w:r>
        <w:rPr>
          <w:rFonts w:hint="eastAsia" w:ascii="仿宋_GB2312" w:hAnsi="仿宋_GB2312" w:eastAsia="仿宋_GB2312" w:cs="仿宋_GB2312"/>
          <w:sz w:val="32"/>
          <w:szCs w:val="32"/>
        </w:rPr>
        <w:fldChar w:fldCharType="end"/>
      </w:r>
    </w:p>
    <w:p w14:paraId="0E16C3C4">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"_Toc227"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14:paraId="1A60DDB1">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"_Toc8391"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14:paraId="11259E94">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"_Toc11283"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14:paraId="6B414DFC">
      <w:pPr>
        <w:pStyle w:val="7"/>
        <w:tabs>
          <w:tab w:val="right" w:pos="8306"/>
        </w:tabs>
        <w:ind w:left="0" w:leftChars="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十二、其他需说明的事项</w:t>
      </w:r>
    </w:p>
    <w:p w14:paraId="43599B8E">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"_Toc3250"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14:paraId="5FB17CB6">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"_Toc22784"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14:paraId="370A4210">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"_Toc2183"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14:paraId="1F952187">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"_Toc24532"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14:paraId="3733F6FC">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"_Toc32434"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14:paraId="5F96EB33">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"_Toc28786"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14:paraId="3BC9F292">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"_Toc14869"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14:paraId="4D6BAC38">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"_Toc8884"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14:paraId="36BAD0BD">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"_Toc29106" </w:instrText>
      </w:r>
      <w:r>
        <w:fldChar w:fldCharType="separate"/>
      </w:r>
      <w:r>
        <w:rPr>
          <w:rFonts w:hint="eastAsia" w:ascii="仿宋_GB2312" w:hAnsi="仿宋_GB2312" w:eastAsia="仿宋_GB2312" w:cs="仿宋_GB2312"/>
          <w:bCs/>
          <w:kern w:val="0"/>
          <w:sz w:val="32"/>
          <w:szCs w:val="32"/>
        </w:rPr>
        <w:t>七、《财政拨款“三公”经费支出决算表》</w:t>
      </w:r>
      <w:r>
        <w:rPr>
          <w:rFonts w:hint="eastAsia" w:ascii="仿宋_GB2312" w:hAnsi="仿宋_GB2312" w:eastAsia="仿宋_GB2312" w:cs="仿宋_GB2312"/>
          <w:bCs/>
          <w:kern w:val="0"/>
          <w:sz w:val="32"/>
          <w:szCs w:val="32"/>
        </w:rPr>
        <w:fldChar w:fldCharType="end"/>
      </w:r>
    </w:p>
    <w:p w14:paraId="37E6A7D2">
      <w:pPr>
        <w:pStyle w:val="7"/>
        <w:tabs>
          <w:tab w:val="right" w:pos="8306"/>
        </w:tabs>
        <w:ind w:left="0" w:leftChars="0"/>
        <w:rPr>
          <w:rFonts w:hint="eastAsia" w:ascii="仿宋_GB2312" w:hAnsi="仿宋_GB2312" w:eastAsia="仿宋_GB2312" w:cs="仿宋_GB2312"/>
          <w:bCs/>
          <w:kern w:val="0"/>
          <w:sz w:val="32"/>
          <w:szCs w:val="32"/>
        </w:rPr>
      </w:pPr>
      <w:r>
        <w:fldChar w:fldCharType="begin"/>
      </w:r>
      <w:r>
        <w:instrText xml:space="preserve"> HYPERLINK \l "_Toc7643" </w:instrText>
      </w:r>
      <w:r>
        <w:fldChar w:fldCharType="separate"/>
      </w:r>
      <w:r>
        <w:rPr>
          <w:rFonts w:hint="eastAsia" w:ascii="仿宋_GB2312" w:hAnsi="仿宋_GB2312" w:eastAsia="仿宋_GB2312" w:cs="仿宋_GB2312"/>
          <w:bCs/>
          <w:kern w:val="0"/>
          <w:sz w:val="32"/>
          <w:szCs w:val="32"/>
        </w:rPr>
        <w:t>八、《政府性基金预算财政拨款收入支出决算表》</w:t>
      </w:r>
      <w:r>
        <w:rPr>
          <w:rFonts w:hint="eastAsia" w:ascii="仿宋_GB2312" w:hAnsi="仿宋_GB2312" w:eastAsia="仿宋_GB2312" w:cs="仿宋_GB2312"/>
          <w:bCs/>
          <w:kern w:val="0"/>
          <w:sz w:val="32"/>
          <w:szCs w:val="32"/>
        </w:rPr>
        <w:fldChar w:fldCharType="end"/>
      </w:r>
    </w:p>
    <w:p w14:paraId="26C0EFDE">
      <w:pPr>
        <w:pStyle w:val="7"/>
        <w:tabs>
          <w:tab w:val="right" w:pos="8306"/>
        </w:tabs>
        <w:ind w:left="0" w:leftChars="0"/>
        <w:rPr>
          <w:rFonts w:hint="eastAsia" w:ascii="仿宋_GB2312" w:hAnsi="仿宋_GB2312" w:eastAsia="仿宋_GB2312" w:cs="仿宋_GB2312"/>
          <w:bCs/>
          <w:kern w:val="0"/>
          <w:sz w:val="32"/>
          <w:szCs w:val="32"/>
        </w:rPr>
      </w:pPr>
      <w:r>
        <w:rPr>
          <w:rFonts w:hint="eastAsia" w:ascii="仿宋_GB2312" w:hAnsi="仿宋_GB2312" w:eastAsia="仿宋_GB2312" w:cs="仿宋_GB2312"/>
          <w:bCs/>
          <w:kern w:val="0"/>
          <w:sz w:val="32"/>
          <w:szCs w:val="32"/>
        </w:rPr>
        <w:t>九、《国有资本经营预算财政拨款收入支出决算表》</w:t>
      </w:r>
    </w:p>
    <w:p w14:paraId="52BEE38D">
      <w:r>
        <w:rPr>
          <w:rFonts w:hint="eastAsia" w:ascii="仿宋_GB2312" w:hAnsi="仿宋_GB2312" w:eastAsia="仿宋_GB2312" w:cs="仿宋_GB2312"/>
          <w:sz w:val="32"/>
          <w:szCs w:val="32"/>
        </w:rPr>
        <w:fldChar w:fldCharType="end"/>
      </w:r>
    </w:p>
    <w:p w14:paraId="002C7224">
      <w:pPr>
        <w:rPr>
          <w:rFonts w:ascii="仿宋_GB2312" w:eastAsia="仿宋_GB2312"/>
          <w:sz w:val="32"/>
          <w:szCs w:val="32"/>
        </w:rPr>
      </w:pPr>
      <w:r>
        <w:rPr>
          <w:rFonts w:hint="eastAsia" w:ascii="仿宋_GB2312" w:eastAsia="仿宋_GB2312"/>
          <w:sz w:val="32"/>
          <w:szCs w:val="32"/>
        </w:rPr>
        <w:br w:type="page"/>
      </w:r>
    </w:p>
    <w:p w14:paraId="4423815B">
      <w:pPr>
        <w:jc w:val="center"/>
        <w:outlineLvl w:val="0"/>
        <w:rPr>
          <w:rFonts w:hint="eastAsia" w:ascii="黑体" w:hAnsi="黑体" w:eastAsia="黑体"/>
          <w:sz w:val="32"/>
          <w:szCs w:val="32"/>
        </w:rPr>
      </w:pPr>
      <w:bookmarkStart w:id="0" w:name="_Toc24028"/>
      <w:bookmarkStart w:id="1" w:name="_Toc32314"/>
      <w:r>
        <w:rPr>
          <w:rFonts w:hint="eastAsia" w:ascii="黑体" w:hAnsi="黑体" w:eastAsia="黑体"/>
          <w:sz w:val="32"/>
          <w:szCs w:val="32"/>
        </w:rPr>
        <w:t>第一部分 单位概况</w:t>
      </w:r>
      <w:bookmarkEnd w:id="0"/>
      <w:bookmarkEnd w:id="1"/>
    </w:p>
    <w:p w14:paraId="21265555">
      <w:pPr>
        <w:ind w:firstLine="640" w:firstLineChars="200"/>
        <w:outlineLvl w:val="1"/>
        <w:rPr>
          <w:rFonts w:hint="eastAsia" w:ascii="黑体" w:hAnsi="黑体" w:eastAsia="黑体" w:cs="宋体"/>
          <w:bCs/>
          <w:kern w:val="0"/>
          <w:sz w:val="32"/>
          <w:szCs w:val="32"/>
        </w:rPr>
      </w:pPr>
      <w:bookmarkStart w:id="2" w:name="_Toc30738"/>
      <w:bookmarkStart w:id="3" w:name="_Toc30567"/>
      <w:r>
        <w:rPr>
          <w:rFonts w:hint="eastAsia" w:ascii="黑体" w:hAnsi="黑体" w:eastAsia="黑体" w:cs="宋体"/>
          <w:bCs/>
          <w:kern w:val="0"/>
          <w:sz w:val="32"/>
          <w:szCs w:val="32"/>
        </w:rPr>
        <w:t>一、主要职能</w:t>
      </w:r>
      <w:bookmarkEnd w:id="2"/>
      <w:bookmarkEnd w:id="3"/>
    </w:p>
    <w:p w14:paraId="56A45480">
      <w:pPr>
        <w:ind w:firstLine="640" w:firstLineChars="200"/>
        <w:jc w:val="left"/>
        <w:rPr>
          <w:rFonts w:ascii="仿宋_GB2312" w:eastAsia="仿宋_GB2312"/>
          <w:sz w:val="32"/>
          <w:szCs w:val="32"/>
        </w:rPr>
      </w:pPr>
      <w:r>
        <w:rPr>
          <w:rFonts w:hint="eastAsia" w:ascii="仿宋_GB2312" w:eastAsia="仿宋_GB2312"/>
          <w:sz w:val="32"/>
          <w:szCs w:val="32"/>
        </w:rPr>
        <w:t>（1）维护党的章程和其他党内法规，协助县委整顿党风、加强党风廉政建设，检查党的路线、方针、政策和决议的执行情况。</w:t>
      </w:r>
    </w:p>
    <w:p w14:paraId="794A9C4C">
      <w:pPr>
        <w:ind w:firstLine="640" w:firstLineChars="200"/>
        <w:jc w:val="left"/>
        <w:rPr>
          <w:rFonts w:ascii="仿宋_GB2312" w:eastAsia="仿宋_GB2312"/>
          <w:sz w:val="32"/>
          <w:szCs w:val="32"/>
        </w:rPr>
      </w:pPr>
      <w:r>
        <w:rPr>
          <w:rFonts w:hint="eastAsia" w:ascii="仿宋_GB2312" w:eastAsia="仿宋_GB2312"/>
          <w:sz w:val="32"/>
          <w:szCs w:val="32"/>
        </w:rPr>
        <w:t>（2）贯彻落实州党委、人民政府、纪委、监察局和县委、县人民政府有关行政监察工作的指示、决定，主管全县行政监察工作。</w:t>
      </w:r>
    </w:p>
    <w:p w14:paraId="3E5AFBBB">
      <w:pPr>
        <w:ind w:firstLine="640" w:firstLineChars="200"/>
        <w:jc w:val="left"/>
        <w:rPr>
          <w:rFonts w:ascii="仿宋_GB2312" w:eastAsia="仿宋_GB2312"/>
          <w:sz w:val="32"/>
          <w:szCs w:val="32"/>
        </w:rPr>
      </w:pPr>
      <w:r>
        <w:rPr>
          <w:rFonts w:hint="eastAsia" w:ascii="仿宋_GB2312" w:eastAsia="仿宋_GB2312"/>
          <w:sz w:val="32"/>
          <w:szCs w:val="32"/>
        </w:rPr>
        <w:t>（3）负责组织、协调好领导干部廉洁自律、纠正部门和行业不正之风及源头预防和解决腐败问题的工作，制定建立健全惩治和预防腐败体系实施方案并组织实施，协助县委抓好主要任务的分解和落实工作。</w:t>
      </w:r>
    </w:p>
    <w:p w14:paraId="437812F8">
      <w:pPr>
        <w:ind w:firstLine="640" w:firstLineChars="200"/>
        <w:jc w:val="left"/>
        <w:rPr>
          <w:rFonts w:ascii="仿宋_GB2312" w:eastAsia="仿宋_GB2312"/>
          <w:sz w:val="32"/>
          <w:szCs w:val="32"/>
        </w:rPr>
      </w:pPr>
      <w:r>
        <w:rPr>
          <w:rFonts w:hint="eastAsia" w:ascii="仿宋_GB2312" w:eastAsia="仿宋_GB2312"/>
          <w:sz w:val="32"/>
          <w:szCs w:val="32"/>
        </w:rPr>
        <w:t>（4）负责检查和处理全县各级党的组织和党员违反党的章程、党纪和国家法律、法令的重要或复杂案件，决定或取消对这些案件中党员的处分；受理党员的控告和申诉。保护党员的民主权利和合法权益。</w:t>
      </w:r>
    </w:p>
    <w:p w14:paraId="707C8C5B">
      <w:pPr>
        <w:ind w:firstLine="640" w:firstLineChars="200"/>
        <w:jc w:val="left"/>
        <w:rPr>
          <w:rFonts w:ascii="仿宋_GB2312" w:eastAsia="仿宋_GB2312"/>
          <w:sz w:val="32"/>
          <w:szCs w:val="32"/>
        </w:rPr>
      </w:pPr>
      <w:r>
        <w:rPr>
          <w:rFonts w:hint="eastAsia" w:ascii="仿宋_GB2312" w:eastAsia="仿宋_GB2312"/>
          <w:sz w:val="32"/>
          <w:szCs w:val="32"/>
        </w:rPr>
        <w:t>（5）按照分级管辖的原则，检查国家行政机关在遵守和执行法律、法规和人民政府的决定、命令中的问题，受理对国家行政机关、国家公务员和国家行政机关任命的其他人员违反行政纪律行为的检举、控告；调查处理国家行政机关、国家公务员和国家行政机关任命的其他人员违反行政纪律的行为，审理决定或建议对他们作出行政处分；受理国家公务员和国家行政机关任命的其他人员不服主管行政机关给予行政处分决定的申诉；以及法律、行政法规规定的其他由监察机关受理的申诉，保护国家公务员正当的合法权益。按照有关规定对县干部选拔任用工作进行监督检查。</w:t>
      </w:r>
    </w:p>
    <w:p w14:paraId="75217E36">
      <w:pPr>
        <w:ind w:firstLine="640" w:firstLineChars="200"/>
        <w:jc w:val="left"/>
        <w:rPr>
          <w:rFonts w:ascii="仿宋_GB2312" w:eastAsia="仿宋_GB2312"/>
          <w:sz w:val="32"/>
          <w:szCs w:val="32"/>
        </w:rPr>
      </w:pPr>
      <w:r>
        <w:rPr>
          <w:rFonts w:hint="eastAsia" w:ascii="仿宋_GB2312" w:eastAsia="仿宋_GB2312"/>
          <w:sz w:val="32"/>
          <w:szCs w:val="32"/>
        </w:rPr>
        <w:t>（6）负责作出关于维护党纪的决定，制定党风党纪教育规划，配合有关部门做好党的纪检工作方针、政策的宣传和对全县党员进行党风廉政和遵守纪律的教育工作。</w:t>
      </w:r>
    </w:p>
    <w:p w14:paraId="20F3C0E6">
      <w:pPr>
        <w:ind w:firstLine="640" w:firstLineChars="200"/>
        <w:jc w:val="left"/>
        <w:rPr>
          <w:rFonts w:ascii="仿宋_GB2312" w:eastAsia="仿宋_GB2312"/>
          <w:sz w:val="32"/>
          <w:szCs w:val="32"/>
        </w:rPr>
      </w:pPr>
      <w:r>
        <w:rPr>
          <w:rFonts w:hint="eastAsia" w:ascii="仿宋_GB2312" w:eastAsia="仿宋_GB2312"/>
          <w:sz w:val="32"/>
          <w:szCs w:val="32"/>
        </w:rPr>
        <w:t>（7）会同有关部门做好行政监察工作的方针、政策和法律、法规的宣传工作，教育国家机关工作人员遵纪守法、为政清廉。</w:t>
      </w:r>
    </w:p>
    <w:p w14:paraId="423C04F5">
      <w:pPr>
        <w:ind w:firstLine="640" w:firstLineChars="200"/>
        <w:jc w:val="left"/>
        <w:rPr>
          <w:rFonts w:ascii="仿宋_GB2312" w:eastAsia="仿宋_GB2312"/>
          <w:sz w:val="32"/>
          <w:szCs w:val="32"/>
        </w:rPr>
      </w:pPr>
      <w:r>
        <w:rPr>
          <w:rFonts w:hint="eastAsia" w:ascii="仿宋_GB2312" w:eastAsia="仿宋_GB2312"/>
          <w:sz w:val="32"/>
          <w:szCs w:val="32"/>
        </w:rPr>
        <w:t>（8）对党的纪律检查工作理论及有关问题进行调查研究；调查监察对象遵纪守法情况，研究政风政纪中出现的带普遍性、倾向性问题。负责监督检查县行政效能监察工作；制定行政效能监察工作计划并分解落实工作任务。</w:t>
      </w:r>
    </w:p>
    <w:p w14:paraId="1396F6D6">
      <w:pPr>
        <w:ind w:firstLine="640" w:firstLineChars="200"/>
        <w:jc w:val="left"/>
        <w:rPr>
          <w:rFonts w:ascii="仿宋_GB2312" w:eastAsia="仿宋_GB2312"/>
          <w:sz w:val="32"/>
          <w:szCs w:val="32"/>
        </w:rPr>
      </w:pPr>
      <w:r>
        <w:rPr>
          <w:rFonts w:hint="eastAsia" w:ascii="仿宋_GB2312" w:eastAsia="仿宋_GB2312"/>
          <w:sz w:val="32"/>
          <w:szCs w:val="32"/>
        </w:rPr>
        <w:t>（9）会同县各部门及各乡（镇）党委和政府做好纪检、监察干部的管理，审核乡（镇）纪委、县属单位纪检、监察干部人选；组织和指导全县纪检、监察干部培训工作。</w:t>
      </w:r>
    </w:p>
    <w:p w14:paraId="21881C54">
      <w:pPr>
        <w:ind w:firstLine="640" w:firstLineChars="200"/>
        <w:outlineLvl w:val="1"/>
        <w:rPr>
          <w:rFonts w:hint="eastAsia" w:ascii="黑体" w:hAnsi="黑体" w:eastAsia="黑体" w:cs="宋体"/>
          <w:bCs/>
          <w:kern w:val="0"/>
          <w:sz w:val="32"/>
          <w:szCs w:val="32"/>
        </w:rPr>
      </w:pPr>
      <w:bookmarkStart w:id="4" w:name="_Toc31238"/>
      <w:bookmarkStart w:id="5" w:name="_Toc2151"/>
      <w:r>
        <w:rPr>
          <w:rFonts w:hint="eastAsia" w:ascii="黑体" w:hAnsi="黑体" w:eastAsia="黑体" w:cs="宋体"/>
          <w:bCs/>
          <w:kern w:val="0"/>
          <w:sz w:val="32"/>
          <w:szCs w:val="32"/>
        </w:rPr>
        <w:t>二、机构设置及</w:t>
      </w:r>
      <w:bookmarkEnd w:id="4"/>
      <w:r>
        <w:rPr>
          <w:rFonts w:hint="eastAsia" w:ascii="黑体" w:hAnsi="黑体" w:eastAsia="黑体" w:cs="宋体"/>
          <w:bCs/>
          <w:kern w:val="0"/>
          <w:sz w:val="32"/>
          <w:szCs w:val="32"/>
        </w:rPr>
        <w:t>人员情况</w:t>
      </w:r>
      <w:bookmarkEnd w:id="5"/>
    </w:p>
    <w:p w14:paraId="7DB378E9">
      <w:pPr>
        <w:ind w:firstLine="640" w:firstLineChars="200"/>
        <w:jc w:val="left"/>
        <w:rPr>
          <w:rFonts w:hint="eastAsia" w:ascii="仿宋_GB2312" w:hAnsi="仿宋_GB2312" w:eastAsia="仿宋_GB2312" w:cs="仿宋_GB2312"/>
          <w:b/>
          <w:sz w:val="32"/>
          <w:szCs w:val="32"/>
        </w:rPr>
      </w:pPr>
      <w:r>
        <w:rPr>
          <w:rFonts w:hint="eastAsia" w:ascii="仿宋_GB2312" w:eastAsia="仿宋_GB2312"/>
          <w:sz w:val="32"/>
          <w:szCs w:val="32"/>
        </w:rPr>
        <w:t>木垒哈萨克自治县纪律检查委员会2023年度，实有人数</w:t>
      </w:r>
      <w:r>
        <w:rPr>
          <w:rFonts w:hint="eastAsia" w:ascii="仿宋_GB2312" w:eastAsia="仿宋_GB2312"/>
          <w:sz w:val="32"/>
          <w:szCs w:val="32"/>
          <w:lang w:val="zh-CN"/>
        </w:rPr>
        <w:t>134</w:t>
      </w:r>
      <w:r>
        <w:rPr>
          <w:rFonts w:hint="eastAsia" w:ascii="仿宋_GB2312" w:eastAsia="仿宋_GB2312"/>
          <w:sz w:val="32"/>
          <w:szCs w:val="32"/>
        </w:rPr>
        <w:t>人，其中：在职人员</w:t>
      </w:r>
      <w:r>
        <w:rPr>
          <w:rFonts w:hint="eastAsia" w:ascii="仿宋_GB2312" w:eastAsia="仿宋_GB2312"/>
          <w:sz w:val="32"/>
          <w:szCs w:val="32"/>
          <w:lang w:val="zh-CN"/>
        </w:rPr>
        <w:t>115</w:t>
      </w:r>
      <w:r>
        <w:rPr>
          <w:rFonts w:hint="eastAsia" w:ascii="仿宋_GB2312" w:eastAsia="仿宋_GB2312"/>
          <w:sz w:val="32"/>
          <w:szCs w:val="32"/>
        </w:rPr>
        <w:t>人，离休人员</w:t>
      </w:r>
      <w:r>
        <w:rPr>
          <w:rFonts w:hint="eastAsia" w:ascii="仿宋_GB2312" w:eastAsia="仿宋_GB2312"/>
          <w:sz w:val="32"/>
          <w:szCs w:val="32"/>
          <w:lang w:val="zh-CN"/>
        </w:rPr>
        <w:t>0</w:t>
      </w:r>
      <w:r>
        <w:rPr>
          <w:rFonts w:hint="eastAsia" w:ascii="仿宋_GB2312" w:eastAsia="仿宋_GB2312"/>
          <w:sz w:val="32"/>
          <w:szCs w:val="32"/>
        </w:rPr>
        <w:t>人，退休人员</w:t>
      </w:r>
      <w:r>
        <w:rPr>
          <w:rFonts w:hint="eastAsia" w:ascii="仿宋_GB2312" w:eastAsia="仿宋_GB2312"/>
          <w:sz w:val="32"/>
          <w:szCs w:val="32"/>
          <w:lang w:val="zh-CN"/>
        </w:rPr>
        <w:t>19</w:t>
      </w:r>
      <w:r>
        <w:rPr>
          <w:rFonts w:hint="eastAsia" w:ascii="仿宋_GB2312" w:eastAsia="仿宋_GB2312"/>
          <w:sz w:val="32"/>
          <w:szCs w:val="32"/>
        </w:rPr>
        <w:t>人。</w:t>
      </w:r>
    </w:p>
    <w:p w14:paraId="445A3C7E">
      <w:pPr>
        <w:ind w:firstLine="640" w:firstLineChars="200"/>
        <w:rPr>
          <w:rFonts w:hint="eastAsia" w:ascii="仿宋_GB2312" w:hAnsi="宋体" w:eastAsia="仿宋_GB2312" w:cs="宋体"/>
          <w:kern w:val="0"/>
          <w:sz w:val="32"/>
          <w:szCs w:val="32"/>
        </w:rPr>
        <w:sectPr>
          <w:footerReference r:id="rId3" w:type="default"/>
          <w:pgSz w:w="11906" w:h="16838"/>
          <w:pgMar w:top="1440" w:right="1800" w:bottom="1440" w:left="1800" w:header="851" w:footer="992" w:gutter="0"/>
          <w:cols w:space="720" w:num="1"/>
          <w:docGrid w:type="lines" w:linePitch="312" w:charSpace="0"/>
        </w:sectPr>
      </w:pPr>
      <w:r>
        <w:rPr>
          <w:rFonts w:hint="eastAsia" w:ascii="仿宋_GB2312" w:hAnsi="黑体" w:eastAsia="仿宋_GB2312" w:cs="宋体"/>
          <w:bCs/>
          <w:kern w:val="0"/>
          <w:sz w:val="32"/>
          <w:szCs w:val="32"/>
        </w:rPr>
        <w:t>单位无下属预算单位，下设</w:t>
      </w:r>
      <w:r>
        <w:rPr>
          <w:rFonts w:hint="eastAsia" w:ascii="仿宋_GB2312" w:eastAsia="仿宋_GB2312"/>
          <w:sz w:val="32"/>
          <w:szCs w:val="32"/>
        </w:rPr>
        <w:t>1</w:t>
      </w:r>
      <w:r>
        <w:rPr>
          <w:rFonts w:ascii="仿宋_GB2312" w:eastAsia="仿宋_GB2312"/>
          <w:sz w:val="32"/>
          <w:szCs w:val="32"/>
        </w:rPr>
        <w:t>2</w:t>
      </w:r>
      <w:r>
        <w:rPr>
          <w:rFonts w:hint="eastAsia" w:ascii="仿宋_GB2312" w:hAnsi="黑体" w:eastAsia="仿宋_GB2312" w:cs="宋体"/>
          <w:bCs/>
          <w:kern w:val="0"/>
          <w:sz w:val="32"/>
          <w:szCs w:val="32"/>
        </w:rPr>
        <w:t>个处室，分别是：</w:t>
      </w:r>
      <w:r>
        <w:rPr>
          <w:rFonts w:hint="eastAsia" w:ascii="仿宋_GB2312" w:hAnsi="宋体" w:eastAsia="仿宋_GB2312" w:cs="宋体"/>
          <w:kern w:val="0"/>
          <w:sz w:val="32"/>
          <w:szCs w:val="32"/>
        </w:rPr>
        <w:t>办公室、组织部、宣传部、党风政风监督室、信访室、案件监督管理室、第一纪检监察室、第二纪检监察室、第三纪检监察室、第四纪检监察室、案件审理室、纪检干部监督室。</w:t>
      </w:r>
    </w:p>
    <w:p w14:paraId="5114D91D">
      <w:pPr>
        <w:jc w:val="center"/>
        <w:outlineLvl w:val="0"/>
        <w:rPr>
          <w:rFonts w:hint="eastAsia" w:ascii="黑体" w:hAnsi="黑体" w:eastAsia="黑体"/>
          <w:sz w:val="32"/>
          <w:szCs w:val="32"/>
        </w:rPr>
      </w:pPr>
      <w:bookmarkStart w:id="6" w:name="_Toc3092"/>
      <w:bookmarkStart w:id="7" w:name="_Toc29374"/>
      <w:r>
        <w:rPr>
          <w:rFonts w:hint="eastAsia" w:ascii="黑体" w:hAnsi="黑体" w:eastAsia="黑体"/>
          <w:sz w:val="32"/>
          <w:szCs w:val="32"/>
        </w:rPr>
        <w:t>第二部分 部门决算情况说明</w:t>
      </w:r>
      <w:bookmarkEnd w:id="6"/>
      <w:bookmarkEnd w:id="7"/>
    </w:p>
    <w:p w14:paraId="27DA1157">
      <w:pPr>
        <w:ind w:firstLine="640" w:firstLineChars="200"/>
        <w:outlineLvl w:val="1"/>
        <w:rPr>
          <w:rFonts w:hint="eastAsia" w:ascii="黑体" w:hAnsi="黑体" w:eastAsia="黑体" w:cs="宋体"/>
          <w:bCs/>
          <w:kern w:val="0"/>
          <w:sz w:val="32"/>
          <w:szCs w:val="32"/>
        </w:rPr>
      </w:pPr>
      <w:bookmarkStart w:id="8" w:name="_Toc12566"/>
      <w:bookmarkStart w:id="9" w:name="_Toc25314"/>
      <w:r>
        <w:rPr>
          <w:rFonts w:hint="eastAsia" w:ascii="黑体" w:hAnsi="黑体" w:eastAsia="黑体" w:cs="宋体"/>
          <w:bCs/>
          <w:kern w:val="0"/>
          <w:sz w:val="32"/>
          <w:szCs w:val="32"/>
        </w:rPr>
        <w:t>一、收入支出决算总体情况说明</w:t>
      </w:r>
      <w:bookmarkEnd w:id="8"/>
      <w:bookmarkEnd w:id="9"/>
    </w:p>
    <w:p w14:paraId="73D80E58">
      <w:pPr>
        <w:ind w:firstLine="640" w:firstLineChars="200"/>
        <w:jc w:val="left"/>
        <w:rPr>
          <w:rFonts w:ascii="仿宋_GB2312" w:eastAsia="仿宋_GB2312"/>
          <w:sz w:val="32"/>
          <w:szCs w:val="32"/>
        </w:rPr>
      </w:pPr>
      <w:r>
        <w:rPr>
          <w:rFonts w:hint="eastAsia" w:ascii="仿宋_GB2312" w:eastAsia="仿宋_GB2312"/>
          <w:sz w:val="32"/>
          <w:szCs w:val="32"/>
        </w:rPr>
        <w:t>2023年度收入总计2,673.52万元，其中：本年收入合计2,673.52万元，使用非财政拨款结余0.00万元，年初结转和结余0.00万元。</w:t>
      </w:r>
    </w:p>
    <w:p w14:paraId="42AB3AB5">
      <w:pPr>
        <w:ind w:firstLine="640" w:firstLineChars="200"/>
        <w:jc w:val="left"/>
        <w:rPr>
          <w:rFonts w:ascii="仿宋_GB2312" w:eastAsia="仿宋_GB2312"/>
          <w:sz w:val="32"/>
          <w:szCs w:val="32"/>
        </w:rPr>
      </w:pPr>
      <w:r>
        <w:rPr>
          <w:rFonts w:hint="eastAsia" w:ascii="仿宋_GB2312" w:eastAsia="仿宋_GB2312"/>
          <w:sz w:val="32"/>
          <w:szCs w:val="32"/>
        </w:rPr>
        <w:t>2023年度支出总计2,673.52万元，其中：本年支出合计2,673.46万元，结余分配0.00万元，年末结转和结余0.06万元。</w:t>
      </w:r>
    </w:p>
    <w:p w14:paraId="3DF80B98">
      <w:pPr>
        <w:ind w:firstLine="640" w:firstLineChars="200"/>
        <w:jc w:val="left"/>
        <w:rPr>
          <w:rFonts w:ascii="仿宋_GB2312" w:eastAsia="仿宋_GB2312"/>
          <w:sz w:val="32"/>
          <w:szCs w:val="32"/>
        </w:rPr>
      </w:pPr>
      <w:r>
        <w:rPr>
          <w:rFonts w:hint="eastAsia" w:ascii="仿宋_GB2312" w:eastAsia="仿宋_GB2312"/>
          <w:sz w:val="32"/>
          <w:szCs w:val="32"/>
        </w:rPr>
        <w:t>收入支出总体与上年相比，</w:t>
      </w:r>
      <w:r>
        <w:rPr>
          <w:rFonts w:hint="eastAsia" w:ascii="仿宋_GB2312" w:eastAsia="仿宋_GB2312"/>
          <w:sz w:val="32"/>
          <w:szCs w:val="32"/>
          <w:lang w:val="zh-CN"/>
        </w:rPr>
        <w:t>增加288.98万元</w:t>
      </w:r>
      <w:r>
        <w:rPr>
          <w:rFonts w:hint="eastAsia" w:ascii="仿宋_GB2312" w:eastAsia="仿宋_GB2312"/>
          <w:sz w:val="32"/>
          <w:szCs w:val="32"/>
        </w:rPr>
        <w:t>，增长12.12%，主要原因是：本年单位办公楼勘测费较上年增加。</w:t>
      </w:r>
    </w:p>
    <w:p w14:paraId="6FE197E3">
      <w:pPr>
        <w:ind w:firstLine="640" w:firstLineChars="200"/>
        <w:jc w:val="left"/>
        <w:outlineLvl w:val="1"/>
        <w:rPr>
          <w:rFonts w:hint="eastAsia" w:ascii="黑体" w:hAnsi="黑体" w:eastAsia="黑体" w:cs="宋体"/>
          <w:bCs/>
          <w:kern w:val="0"/>
          <w:sz w:val="32"/>
          <w:szCs w:val="32"/>
        </w:rPr>
      </w:pPr>
      <w:bookmarkStart w:id="10" w:name="_Toc1979"/>
      <w:bookmarkStart w:id="11" w:name="_Toc12142"/>
      <w:r>
        <w:rPr>
          <w:rFonts w:hint="eastAsia" w:ascii="黑体" w:hAnsi="黑体" w:eastAsia="黑体" w:cs="宋体"/>
          <w:bCs/>
          <w:kern w:val="0"/>
          <w:sz w:val="32"/>
          <w:szCs w:val="32"/>
        </w:rPr>
        <w:t>二、收入决算情况说明</w:t>
      </w:r>
      <w:bookmarkEnd w:id="10"/>
      <w:bookmarkEnd w:id="11"/>
    </w:p>
    <w:p w14:paraId="3C8CDF38">
      <w:pPr>
        <w:ind w:firstLine="640" w:firstLineChars="200"/>
        <w:jc w:val="left"/>
        <w:rPr>
          <w:rFonts w:ascii="仿宋_GB2312" w:eastAsia="仿宋_GB2312"/>
          <w:sz w:val="32"/>
          <w:szCs w:val="32"/>
        </w:rPr>
      </w:pPr>
      <w:r>
        <w:rPr>
          <w:rFonts w:hint="eastAsia" w:ascii="仿宋_GB2312" w:eastAsia="仿宋_GB2312"/>
          <w:sz w:val="32"/>
          <w:szCs w:val="32"/>
        </w:rPr>
        <w:t>本年收入2,673.52万元，其中：财政拨款收入</w:t>
      </w:r>
      <w:r>
        <w:rPr>
          <w:rFonts w:hint="eastAsia" w:ascii="仿宋_GB2312" w:eastAsia="仿宋_GB2312"/>
          <w:sz w:val="32"/>
          <w:szCs w:val="32"/>
          <w:lang w:val="zh-CN"/>
        </w:rPr>
        <w:t>2,673.46</w:t>
      </w:r>
      <w:r>
        <w:rPr>
          <w:rFonts w:hint="eastAsia" w:ascii="仿宋_GB2312" w:eastAsia="仿宋_GB2312"/>
          <w:sz w:val="32"/>
          <w:szCs w:val="32"/>
        </w:rPr>
        <w:t>万元，占</w:t>
      </w:r>
      <w:r>
        <w:rPr>
          <w:rFonts w:hint="eastAsia" w:ascii="仿宋_GB2312" w:eastAsia="仿宋_GB2312"/>
          <w:sz w:val="32"/>
          <w:szCs w:val="32"/>
          <w:lang w:val="zh-CN"/>
        </w:rPr>
        <w:t>100.00</w:t>
      </w:r>
      <w:r>
        <w:rPr>
          <w:rFonts w:hint="eastAsia" w:ascii="仿宋_GB2312" w:eastAsia="仿宋_GB2312"/>
          <w:sz w:val="32"/>
          <w:szCs w:val="32"/>
        </w:rPr>
        <w:t>%；上级补助收入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%；事业收入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%；经营收入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%；附属单位上缴收入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%；其他收入</w:t>
      </w:r>
      <w:r>
        <w:rPr>
          <w:rFonts w:hint="eastAsia" w:ascii="仿宋_GB2312" w:eastAsia="仿宋_GB2312"/>
          <w:sz w:val="32"/>
          <w:szCs w:val="32"/>
          <w:lang w:val="zh-CN"/>
        </w:rPr>
        <w:t>0.06</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w:t>
      </w:r>
    </w:p>
    <w:p w14:paraId="035C35A6">
      <w:pPr>
        <w:ind w:firstLine="640" w:firstLineChars="200"/>
        <w:jc w:val="left"/>
        <w:outlineLvl w:val="1"/>
        <w:rPr>
          <w:rFonts w:hint="eastAsia" w:ascii="黑体" w:hAnsi="黑体" w:eastAsia="黑体" w:cs="宋体"/>
          <w:bCs/>
          <w:kern w:val="0"/>
          <w:sz w:val="32"/>
          <w:szCs w:val="32"/>
        </w:rPr>
      </w:pPr>
      <w:bookmarkStart w:id="12" w:name="_Toc13201"/>
      <w:bookmarkStart w:id="13" w:name="_Toc27961"/>
      <w:r>
        <w:rPr>
          <w:rFonts w:hint="eastAsia" w:ascii="黑体" w:hAnsi="黑体" w:eastAsia="黑体" w:cs="宋体"/>
          <w:bCs/>
          <w:kern w:val="0"/>
          <w:sz w:val="32"/>
          <w:szCs w:val="32"/>
        </w:rPr>
        <w:t>三、支出决算情况说明</w:t>
      </w:r>
      <w:bookmarkEnd w:id="12"/>
      <w:bookmarkEnd w:id="13"/>
    </w:p>
    <w:p w14:paraId="0382CDAB">
      <w:pPr>
        <w:ind w:firstLine="640" w:firstLineChars="200"/>
        <w:jc w:val="left"/>
        <w:rPr>
          <w:rFonts w:ascii="仿宋_GB2312" w:eastAsia="仿宋_GB2312" w:cs="仿宋_GB2312"/>
          <w:sz w:val="30"/>
          <w:szCs w:val="30"/>
          <w:lang w:val="zh-CN"/>
        </w:rPr>
      </w:pPr>
      <w:r>
        <w:rPr>
          <w:rFonts w:hint="eastAsia" w:ascii="仿宋_GB2312" w:eastAsia="仿宋_GB2312" w:cs="仿宋_GB2312"/>
          <w:sz w:val="32"/>
          <w:szCs w:val="32"/>
          <w:lang w:val="zh-CN"/>
        </w:rPr>
        <w:t>本年支出2,673.46万元，其中：基本支出2,660.92万元，占99.53%；项目支出12.54万元，占0.47%；上缴上级支出0.00万元，占0.00%；经营支出0.00万元，占0.00%；对附属单位补助支出0.00万元，占0.00%。</w:t>
      </w:r>
    </w:p>
    <w:p w14:paraId="4C18BA9D">
      <w:pPr>
        <w:ind w:firstLine="640" w:firstLineChars="200"/>
        <w:jc w:val="left"/>
        <w:outlineLvl w:val="1"/>
        <w:rPr>
          <w:rFonts w:hint="eastAsia" w:ascii="黑体" w:hAnsi="黑体" w:eastAsia="黑体" w:cs="宋体"/>
          <w:bCs/>
          <w:kern w:val="0"/>
          <w:sz w:val="32"/>
          <w:szCs w:val="32"/>
        </w:rPr>
      </w:pPr>
      <w:bookmarkStart w:id="14" w:name="_Toc26564"/>
      <w:bookmarkStart w:id="15" w:name="_Toc4393"/>
      <w:r>
        <w:rPr>
          <w:rFonts w:hint="eastAsia" w:ascii="黑体" w:hAnsi="黑体" w:eastAsia="黑体" w:cs="宋体"/>
          <w:bCs/>
          <w:kern w:val="0"/>
          <w:sz w:val="32"/>
          <w:szCs w:val="32"/>
        </w:rPr>
        <w:t>四、财政拨款收入支出决算总体情况说明</w:t>
      </w:r>
      <w:bookmarkEnd w:id="14"/>
      <w:bookmarkEnd w:id="15"/>
    </w:p>
    <w:p w14:paraId="6BBBFA4A">
      <w:pPr>
        <w:ind w:firstLine="640" w:firstLineChars="200"/>
        <w:jc w:val="left"/>
        <w:rPr>
          <w:rFonts w:ascii="仿宋_GB2312" w:eastAsia="仿宋_GB2312"/>
          <w:sz w:val="32"/>
          <w:szCs w:val="32"/>
        </w:rPr>
      </w:pPr>
      <w:r>
        <w:rPr>
          <w:rFonts w:hint="eastAsia" w:ascii="仿宋_GB2312" w:eastAsia="仿宋_GB2312"/>
          <w:sz w:val="32"/>
          <w:szCs w:val="32"/>
        </w:rPr>
        <w:t>2023年度财政拨款收入总计</w:t>
      </w:r>
      <w:r>
        <w:rPr>
          <w:rFonts w:hint="eastAsia" w:ascii="仿宋_GB2312" w:eastAsia="仿宋_GB2312"/>
          <w:sz w:val="32"/>
          <w:szCs w:val="32"/>
          <w:lang w:val="zh-CN"/>
        </w:rPr>
        <w:t>2,673.46</w:t>
      </w:r>
      <w:r>
        <w:rPr>
          <w:rFonts w:hint="eastAsia" w:ascii="仿宋_GB2312" w:eastAsia="仿宋_GB2312"/>
          <w:sz w:val="32"/>
          <w:szCs w:val="32"/>
        </w:rPr>
        <w:t>万元，其中：年初财政拨款结转和结余</w:t>
      </w:r>
      <w:r>
        <w:rPr>
          <w:rFonts w:hint="eastAsia" w:ascii="仿宋_GB2312" w:eastAsia="仿宋_GB2312"/>
          <w:sz w:val="32"/>
          <w:szCs w:val="32"/>
          <w:lang w:val="zh-CN"/>
        </w:rPr>
        <w:t>0.00</w:t>
      </w:r>
      <w:r>
        <w:rPr>
          <w:rFonts w:hint="eastAsia" w:ascii="仿宋_GB2312" w:eastAsia="仿宋_GB2312"/>
          <w:sz w:val="32"/>
          <w:szCs w:val="32"/>
        </w:rPr>
        <w:t>万元，本年财政拨款收入</w:t>
      </w:r>
      <w:r>
        <w:rPr>
          <w:rFonts w:hint="eastAsia" w:ascii="仿宋_GB2312" w:eastAsia="仿宋_GB2312"/>
          <w:sz w:val="32"/>
          <w:szCs w:val="32"/>
          <w:lang w:val="zh-CN"/>
        </w:rPr>
        <w:t>2,673.46</w:t>
      </w:r>
      <w:r>
        <w:rPr>
          <w:rFonts w:hint="eastAsia" w:ascii="仿宋_GB2312" w:eastAsia="仿宋_GB2312"/>
          <w:sz w:val="32"/>
          <w:szCs w:val="32"/>
        </w:rPr>
        <w:t>万元。财政拨款支出总计</w:t>
      </w:r>
      <w:r>
        <w:rPr>
          <w:rFonts w:hint="eastAsia" w:ascii="仿宋_GB2312" w:eastAsia="仿宋_GB2312"/>
          <w:sz w:val="32"/>
          <w:szCs w:val="32"/>
          <w:lang w:val="zh-CN"/>
        </w:rPr>
        <w:t>2,673.46</w:t>
      </w:r>
      <w:r>
        <w:rPr>
          <w:rFonts w:hint="eastAsia" w:ascii="仿宋_GB2312" w:eastAsia="仿宋_GB2312"/>
          <w:sz w:val="32"/>
          <w:szCs w:val="32"/>
        </w:rPr>
        <w:t>万元，其中：年末财政拨款结转和结余</w:t>
      </w:r>
      <w:r>
        <w:rPr>
          <w:rFonts w:hint="eastAsia" w:ascii="仿宋_GB2312" w:eastAsia="仿宋_GB2312"/>
          <w:sz w:val="32"/>
          <w:szCs w:val="32"/>
          <w:lang w:val="zh-CN"/>
        </w:rPr>
        <w:t>0.00</w:t>
      </w:r>
      <w:r>
        <w:rPr>
          <w:rFonts w:hint="eastAsia" w:ascii="仿宋_GB2312" w:eastAsia="仿宋_GB2312"/>
          <w:sz w:val="32"/>
          <w:szCs w:val="32"/>
        </w:rPr>
        <w:t>万元，本年财政拨款支出</w:t>
      </w:r>
      <w:r>
        <w:rPr>
          <w:rFonts w:hint="eastAsia" w:ascii="仿宋_GB2312" w:eastAsia="仿宋_GB2312"/>
          <w:sz w:val="32"/>
          <w:szCs w:val="32"/>
          <w:lang w:val="zh-CN"/>
        </w:rPr>
        <w:t>2,673.46</w:t>
      </w:r>
      <w:r>
        <w:rPr>
          <w:rFonts w:hint="eastAsia" w:ascii="仿宋_GB2312" w:eastAsia="仿宋_GB2312"/>
          <w:sz w:val="32"/>
          <w:szCs w:val="32"/>
        </w:rPr>
        <w:t>万元。</w:t>
      </w:r>
    </w:p>
    <w:p w14:paraId="257DE03F">
      <w:pPr>
        <w:ind w:firstLine="640" w:firstLineChars="200"/>
        <w:jc w:val="left"/>
        <w:rPr>
          <w:rFonts w:ascii="仿宋_GB2312" w:eastAsia="仿宋_GB2312"/>
          <w:sz w:val="32"/>
          <w:szCs w:val="32"/>
        </w:rPr>
      </w:pPr>
      <w:r>
        <w:rPr>
          <w:rFonts w:hint="eastAsia" w:ascii="仿宋_GB2312" w:eastAsia="仿宋_GB2312"/>
          <w:sz w:val="32"/>
          <w:szCs w:val="32"/>
        </w:rPr>
        <w:t>财政拨款收入支出总体与上年相比,</w:t>
      </w:r>
      <w:r>
        <w:rPr>
          <w:rFonts w:hint="eastAsia" w:ascii="仿宋_GB2312" w:eastAsia="仿宋_GB2312"/>
          <w:sz w:val="32"/>
          <w:szCs w:val="32"/>
          <w:lang w:val="zh-CN"/>
        </w:rPr>
        <w:t>增加288.92万元</w:t>
      </w:r>
      <w:r>
        <w:rPr>
          <w:rFonts w:hint="eastAsia" w:ascii="仿宋_GB2312" w:eastAsia="仿宋_GB2312"/>
          <w:sz w:val="32"/>
          <w:szCs w:val="32"/>
        </w:rPr>
        <w:t>，增长12.12%,主要原因是：本年单位办公楼勘测费较上年增加。与年初预算相比，年初预算数</w:t>
      </w:r>
      <w:r>
        <w:rPr>
          <w:rFonts w:hint="eastAsia" w:ascii="仿宋_GB2312" w:eastAsia="仿宋_GB2312"/>
          <w:sz w:val="32"/>
          <w:szCs w:val="32"/>
          <w:lang w:val="zh-CN"/>
        </w:rPr>
        <w:t>2,766.10</w:t>
      </w:r>
      <w:r>
        <w:rPr>
          <w:rFonts w:hint="eastAsia" w:ascii="仿宋_GB2312" w:eastAsia="仿宋_GB2312"/>
          <w:sz w:val="32"/>
          <w:szCs w:val="32"/>
        </w:rPr>
        <w:t>万元，决算数</w:t>
      </w:r>
      <w:r>
        <w:rPr>
          <w:rFonts w:hint="eastAsia" w:ascii="仿宋_GB2312" w:eastAsia="仿宋_GB2312"/>
          <w:sz w:val="32"/>
          <w:szCs w:val="32"/>
          <w:lang w:val="zh-CN"/>
        </w:rPr>
        <w:t>2,673.46</w:t>
      </w:r>
      <w:r>
        <w:rPr>
          <w:rFonts w:hint="eastAsia" w:ascii="仿宋_GB2312" w:eastAsia="仿宋_GB2312"/>
          <w:sz w:val="32"/>
          <w:szCs w:val="32"/>
        </w:rPr>
        <w:t>万元，预决算差异率-3.35%，主要原因是：本年单位</w:t>
      </w:r>
      <w:r>
        <w:rPr>
          <w:rFonts w:hint="eastAsia" w:eastAsia="仿宋_GB2312"/>
          <w:sz w:val="32"/>
          <w:szCs w:val="32"/>
          <w:lang w:val="zh-CN"/>
        </w:rPr>
        <w:t>各乡镇纪检监察信息员工作经费小于年初预算安排金额</w:t>
      </w:r>
      <w:r>
        <w:rPr>
          <w:rFonts w:hint="eastAsia" w:ascii="仿宋_GB2312" w:eastAsia="仿宋_GB2312"/>
          <w:sz w:val="32"/>
          <w:szCs w:val="32"/>
        </w:rPr>
        <w:t>。</w:t>
      </w:r>
    </w:p>
    <w:p w14:paraId="691091FF">
      <w:pPr>
        <w:ind w:firstLine="640" w:firstLineChars="200"/>
        <w:jc w:val="left"/>
        <w:outlineLvl w:val="1"/>
        <w:rPr>
          <w:rFonts w:hint="eastAsia" w:ascii="黑体" w:hAnsi="黑体" w:eastAsia="黑体" w:cs="宋体"/>
          <w:bCs/>
          <w:kern w:val="0"/>
          <w:sz w:val="32"/>
          <w:szCs w:val="32"/>
        </w:rPr>
      </w:pPr>
      <w:bookmarkStart w:id="16" w:name="_Toc13833"/>
      <w:bookmarkStart w:id="17" w:name="_Toc20360"/>
      <w:r>
        <w:rPr>
          <w:rFonts w:hint="eastAsia" w:ascii="黑体" w:hAnsi="黑体" w:eastAsia="黑体" w:cs="宋体"/>
          <w:bCs/>
          <w:kern w:val="0"/>
          <w:sz w:val="32"/>
          <w:szCs w:val="32"/>
        </w:rPr>
        <w:t>五、一般公共预算财政拨款支出决算情况说明</w:t>
      </w:r>
      <w:bookmarkEnd w:id="16"/>
      <w:bookmarkEnd w:id="17"/>
    </w:p>
    <w:p w14:paraId="3BBDDDEC">
      <w:p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（一）一般公共预算财政拨款支出决算总体情况</w:t>
      </w:r>
    </w:p>
    <w:p w14:paraId="7DF76AFE">
      <w:pPr>
        <w:spacing w:line="600" w:lineRule="exact"/>
        <w:ind w:firstLine="640" w:firstLineChars="200"/>
        <w:jc w:val="left"/>
        <w:rPr>
          <w:rFonts w:ascii="仿宋_GB2312" w:eastAsia="仿宋_GB2312"/>
          <w:sz w:val="32"/>
          <w:szCs w:val="32"/>
        </w:rPr>
      </w:pPr>
      <w:r>
        <w:rPr>
          <w:rFonts w:hint="eastAsia" w:ascii="仿宋_GB2312" w:eastAsia="仿宋_GB2312"/>
          <w:sz w:val="32"/>
          <w:szCs w:val="32"/>
        </w:rPr>
        <w:t>2023年度一般公共预算财政拨款支出2,673.46万元，占本年支出合计的</w:t>
      </w:r>
      <w:r>
        <w:rPr>
          <w:rFonts w:hint="eastAsia" w:ascii="仿宋_GB2312" w:eastAsia="仿宋_GB2312"/>
          <w:sz w:val="32"/>
          <w:szCs w:val="32"/>
          <w:lang w:val="zh-CN"/>
        </w:rPr>
        <w:t>100.00%</w:t>
      </w:r>
      <w:r>
        <w:rPr>
          <w:rFonts w:hint="eastAsia" w:ascii="仿宋_GB2312" w:eastAsia="仿宋_GB2312"/>
          <w:sz w:val="32"/>
          <w:szCs w:val="32"/>
        </w:rPr>
        <w:t>。与上年相比，</w:t>
      </w:r>
      <w:r>
        <w:rPr>
          <w:rFonts w:hint="eastAsia" w:ascii="仿宋_GB2312" w:eastAsia="仿宋_GB2312"/>
          <w:sz w:val="32"/>
          <w:szCs w:val="32"/>
          <w:lang w:val="zh-CN"/>
        </w:rPr>
        <w:t>增加288.92万元</w:t>
      </w:r>
      <w:r>
        <w:rPr>
          <w:rFonts w:hint="eastAsia" w:ascii="仿宋_GB2312" w:eastAsia="仿宋_GB2312"/>
          <w:sz w:val="32"/>
          <w:szCs w:val="32"/>
        </w:rPr>
        <w:t>，增长12.12%,主要原因是：本年单位办公楼勘测费较上年增加。与年初预算相比，年初预算数</w:t>
      </w:r>
      <w:r>
        <w:rPr>
          <w:rFonts w:hint="eastAsia" w:ascii="仿宋_GB2312" w:eastAsia="仿宋_GB2312"/>
          <w:sz w:val="32"/>
          <w:szCs w:val="32"/>
          <w:lang w:val="zh-CN"/>
        </w:rPr>
        <w:t>2,766.10</w:t>
      </w:r>
      <w:r>
        <w:rPr>
          <w:rFonts w:hint="eastAsia" w:ascii="仿宋_GB2312" w:eastAsia="仿宋_GB2312"/>
          <w:sz w:val="32"/>
          <w:szCs w:val="32"/>
        </w:rPr>
        <w:t>万元，决算数</w:t>
      </w:r>
      <w:r>
        <w:rPr>
          <w:rFonts w:hint="eastAsia" w:ascii="仿宋_GB2312" w:eastAsia="仿宋_GB2312"/>
          <w:sz w:val="32"/>
          <w:szCs w:val="32"/>
          <w:lang w:val="zh-CN"/>
        </w:rPr>
        <w:t>2,673.46</w:t>
      </w:r>
      <w:r>
        <w:rPr>
          <w:rFonts w:hint="eastAsia" w:ascii="仿宋_GB2312" w:eastAsia="仿宋_GB2312"/>
          <w:sz w:val="32"/>
          <w:szCs w:val="32"/>
        </w:rPr>
        <w:t>万元，预决算差异率</w:t>
      </w:r>
      <w:r>
        <w:rPr>
          <w:rFonts w:hint="eastAsia" w:ascii="仿宋_GB2312" w:eastAsia="仿宋_GB2312"/>
          <w:sz w:val="32"/>
          <w:szCs w:val="32"/>
          <w:lang w:val="zh-CN"/>
        </w:rPr>
        <w:t>-3.35%</w:t>
      </w:r>
      <w:r>
        <w:rPr>
          <w:rFonts w:hint="eastAsia" w:ascii="仿宋_GB2312" w:eastAsia="仿宋_GB2312"/>
          <w:sz w:val="32"/>
          <w:szCs w:val="32"/>
        </w:rPr>
        <w:t>，主要原因是：本年单位</w:t>
      </w:r>
      <w:r>
        <w:rPr>
          <w:rFonts w:hint="eastAsia" w:eastAsia="仿宋_GB2312"/>
          <w:sz w:val="32"/>
          <w:szCs w:val="32"/>
          <w:lang w:val="zh-CN"/>
        </w:rPr>
        <w:t>各乡镇纪检监察信息员工作经费小于年初预算安排金额</w:t>
      </w:r>
      <w:r>
        <w:rPr>
          <w:rFonts w:hint="eastAsia" w:ascii="仿宋_GB2312" w:eastAsia="仿宋_GB2312"/>
          <w:sz w:val="32"/>
          <w:szCs w:val="32"/>
        </w:rPr>
        <w:t>。</w:t>
      </w:r>
    </w:p>
    <w:p w14:paraId="17D07E53">
      <w:pPr>
        <w:numPr>
          <w:ilvl w:val="0"/>
          <w:numId w:val="1"/>
        </w:num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一般公共预算财政拨款支出决算结构情况</w:t>
      </w:r>
    </w:p>
    <w:p w14:paraId="348AE6EF">
      <w:pPr>
        <w:pStyle w:val="8"/>
        <w:widowControl/>
        <w:spacing w:before="0" w:beforeAutospacing="0" w:after="0" w:afterAutospacing="0"/>
        <w:ind w:firstLine="640" w:firstLineChars="200"/>
        <w:rPr>
          <w:rFonts w:ascii="仿宋_GB2312" w:eastAsia="仿宋_GB2312"/>
          <w:kern w:val="2"/>
          <w:sz w:val="32"/>
          <w:szCs w:val="32"/>
          <w:lang w:val="zh-CN"/>
        </w:rPr>
      </w:pPr>
      <w:r>
        <w:rPr>
          <w:rFonts w:ascii="仿宋_GB2312" w:eastAsia="仿宋_GB2312"/>
          <w:kern w:val="2"/>
          <w:sz w:val="32"/>
          <w:szCs w:val="32"/>
          <w:lang w:val="zh-CN"/>
        </w:rPr>
        <w:t>1.一般公共服务支出（类）</w:t>
      </w:r>
      <w:r>
        <w:rPr>
          <w:rFonts w:hint="eastAsia" w:ascii="仿宋_GB2312" w:eastAsia="仿宋_GB2312"/>
          <w:kern w:val="2"/>
          <w:sz w:val="32"/>
          <w:szCs w:val="32"/>
          <w:lang w:val="zh-CN"/>
        </w:rPr>
        <w:t>2,177.05</w:t>
      </w:r>
      <w:r>
        <w:rPr>
          <w:rFonts w:ascii="仿宋_GB2312" w:eastAsia="仿宋_GB2312"/>
          <w:kern w:val="2"/>
          <w:sz w:val="32"/>
          <w:szCs w:val="32"/>
          <w:lang w:val="zh-CN"/>
        </w:rPr>
        <w:t>万元，占</w:t>
      </w:r>
      <w:r>
        <w:rPr>
          <w:rFonts w:hint="eastAsia" w:ascii="仿宋_GB2312" w:eastAsia="仿宋_GB2312"/>
          <w:kern w:val="2"/>
          <w:sz w:val="32"/>
          <w:szCs w:val="32"/>
          <w:lang w:val="zh-CN"/>
        </w:rPr>
        <w:t>81.43</w:t>
      </w:r>
      <w:r>
        <w:rPr>
          <w:rFonts w:ascii="仿宋_GB2312" w:eastAsia="仿宋_GB2312"/>
          <w:kern w:val="2"/>
          <w:sz w:val="32"/>
          <w:szCs w:val="32"/>
          <w:lang w:val="zh-CN"/>
        </w:rPr>
        <w:t>%；</w:t>
      </w:r>
    </w:p>
    <w:p w14:paraId="4FCA1BD1">
      <w:pPr>
        <w:pStyle w:val="8"/>
        <w:widowControl/>
        <w:spacing w:before="0" w:beforeAutospacing="0" w:after="0" w:afterAutospacing="0"/>
        <w:ind w:firstLine="640" w:firstLineChars="200"/>
        <w:rPr>
          <w:rFonts w:ascii="仿宋_GB2312" w:eastAsia="仿宋_GB2312"/>
          <w:kern w:val="2"/>
          <w:sz w:val="32"/>
          <w:szCs w:val="32"/>
          <w:lang w:val="zh-CN"/>
        </w:rPr>
      </w:pPr>
      <w:r>
        <w:rPr>
          <w:rFonts w:ascii="仿宋_GB2312" w:eastAsia="仿宋_GB2312"/>
          <w:kern w:val="2"/>
          <w:sz w:val="32"/>
          <w:szCs w:val="32"/>
          <w:lang w:val="zh-CN"/>
        </w:rPr>
        <w:t>2.社会保障和就业支出（类）</w:t>
      </w:r>
      <w:r>
        <w:rPr>
          <w:rFonts w:hint="eastAsia" w:ascii="仿宋_GB2312" w:eastAsia="仿宋_GB2312"/>
          <w:kern w:val="2"/>
          <w:sz w:val="32"/>
          <w:szCs w:val="32"/>
          <w:lang w:val="zh-CN"/>
        </w:rPr>
        <w:t>315.65</w:t>
      </w:r>
      <w:r>
        <w:rPr>
          <w:rFonts w:ascii="仿宋_GB2312" w:eastAsia="仿宋_GB2312"/>
          <w:kern w:val="2"/>
          <w:sz w:val="32"/>
          <w:szCs w:val="32"/>
          <w:lang w:val="zh-CN"/>
        </w:rPr>
        <w:t>万元，占</w:t>
      </w:r>
      <w:r>
        <w:rPr>
          <w:rFonts w:hint="eastAsia" w:ascii="仿宋_GB2312" w:eastAsia="仿宋_GB2312"/>
          <w:kern w:val="2"/>
          <w:sz w:val="32"/>
          <w:szCs w:val="32"/>
          <w:lang w:val="zh-CN"/>
        </w:rPr>
        <w:t>11.81</w:t>
      </w:r>
      <w:r>
        <w:rPr>
          <w:rFonts w:ascii="仿宋_GB2312" w:eastAsia="仿宋_GB2312"/>
          <w:kern w:val="2"/>
          <w:sz w:val="32"/>
          <w:szCs w:val="32"/>
          <w:lang w:val="zh-CN"/>
        </w:rPr>
        <w:t>%；</w:t>
      </w:r>
    </w:p>
    <w:p w14:paraId="1799F539">
      <w:pPr>
        <w:pStyle w:val="8"/>
        <w:widowControl/>
        <w:spacing w:before="0" w:beforeAutospacing="0" w:after="0" w:afterAutospacing="0"/>
        <w:ind w:firstLine="640" w:firstLineChars="200"/>
        <w:rPr>
          <w:rFonts w:ascii="仿宋_GB2312" w:eastAsia="仿宋_GB2312"/>
          <w:kern w:val="2"/>
          <w:sz w:val="32"/>
          <w:szCs w:val="32"/>
          <w:lang w:val="zh-CN"/>
        </w:rPr>
      </w:pPr>
      <w:r>
        <w:rPr>
          <w:rFonts w:ascii="仿宋_GB2312" w:eastAsia="仿宋_GB2312"/>
          <w:kern w:val="2"/>
          <w:sz w:val="32"/>
          <w:szCs w:val="32"/>
          <w:lang w:val="zh-CN"/>
        </w:rPr>
        <w:t>3.住房保障支出（类）</w:t>
      </w:r>
      <w:r>
        <w:rPr>
          <w:rFonts w:hint="eastAsia" w:ascii="仿宋_GB2312" w:eastAsia="仿宋_GB2312"/>
          <w:kern w:val="2"/>
          <w:sz w:val="32"/>
          <w:szCs w:val="32"/>
          <w:lang w:val="zh-CN"/>
        </w:rPr>
        <w:t>150.07</w:t>
      </w:r>
      <w:r>
        <w:rPr>
          <w:rFonts w:ascii="仿宋_GB2312" w:eastAsia="仿宋_GB2312"/>
          <w:kern w:val="2"/>
          <w:sz w:val="32"/>
          <w:szCs w:val="32"/>
          <w:lang w:val="zh-CN"/>
        </w:rPr>
        <w:t>万元，占</w:t>
      </w:r>
      <w:r>
        <w:rPr>
          <w:rFonts w:hint="eastAsia" w:ascii="仿宋_GB2312" w:eastAsia="仿宋_GB2312"/>
          <w:kern w:val="2"/>
          <w:sz w:val="32"/>
          <w:szCs w:val="32"/>
          <w:lang w:val="zh-CN"/>
        </w:rPr>
        <w:t>5.61</w:t>
      </w:r>
      <w:r>
        <w:rPr>
          <w:rFonts w:ascii="仿宋_GB2312" w:eastAsia="仿宋_GB2312"/>
          <w:kern w:val="2"/>
          <w:sz w:val="32"/>
          <w:szCs w:val="32"/>
          <w:lang w:val="zh-CN"/>
        </w:rPr>
        <w:t>%；</w:t>
      </w:r>
    </w:p>
    <w:p w14:paraId="08614C73">
      <w:pPr>
        <w:pStyle w:val="8"/>
        <w:widowControl/>
        <w:spacing w:before="0" w:beforeAutospacing="0" w:after="0" w:afterAutospacing="0"/>
        <w:ind w:firstLine="640" w:firstLineChars="200"/>
        <w:rPr>
          <w:rFonts w:ascii="仿宋_GB2312" w:eastAsia="仿宋_GB2312"/>
          <w:kern w:val="2"/>
          <w:sz w:val="32"/>
          <w:szCs w:val="32"/>
          <w:lang w:val="zh-CN"/>
        </w:rPr>
      </w:pPr>
      <w:r>
        <w:rPr>
          <w:rFonts w:ascii="仿宋_GB2312" w:eastAsia="仿宋_GB2312"/>
          <w:kern w:val="2"/>
          <w:sz w:val="32"/>
          <w:szCs w:val="32"/>
          <w:lang w:val="zh-CN"/>
        </w:rPr>
        <w:t>4.其他支出（类）</w:t>
      </w:r>
      <w:r>
        <w:rPr>
          <w:rFonts w:hint="eastAsia" w:ascii="仿宋_GB2312" w:eastAsia="仿宋_GB2312"/>
          <w:kern w:val="2"/>
          <w:sz w:val="32"/>
          <w:szCs w:val="32"/>
          <w:lang w:val="zh-CN"/>
        </w:rPr>
        <w:t>30.69</w:t>
      </w:r>
      <w:r>
        <w:rPr>
          <w:rFonts w:ascii="仿宋_GB2312" w:eastAsia="仿宋_GB2312"/>
          <w:kern w:val="2"/>
          <w:sz w:val="32"/>
          <w:szCs w:val="32"/>
          <w:lang w:val="zh-CN"/>
        </w:rPr>
        <w:t>万元，占</w:t>
      </w:r>
      <w:r>
        <w:rPr>
          <w:rFonts w:hint="eastAsia" w:ascii="仿宋_GB2312" w:eastAsia="仿宋_GB2312"/>
          <w:kern w:val="2"/>
          <w:sz w:val="32"/>
          <w:szCs w:val="32"/>
          <w:lang w:val="zh-CN"/>
        </w:rPr>
        <w:t>1.15</w:t>
      </w:r>
      <w:r>
        <w:rPr>
          <w:rFonts w:ascii="仿宋_GB2312" w:eastAsia="仿宋_GB2312"/>
          <w:kern w:val="2"/>
          <w:sz w:val="32"/>
          <w:szCs w:val="32"/>
          <w:lang w:val="zh-CN"/>
        </w:rPr>
        <w:t>%</w:t>
      </w:r>
      <w:r>
        <w:rPr>
          <w:rFonts w:hint="eastAsia" w:ascii="仿宋_GB2312" w:eastAsia="仿宋_GB2312"/>
          <w:kern w:val="2"/>
          <w:sz w:val="32"/>
          <w:szCs w:val="32"/>
          <w:lang w:val="zh-CN"/>
        </w:rPr>
        <w:t>。</w:t>
      </w:r>
    </w:p>
    <w:p w14:paraId="17BE88DC">
      <w:p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（三）一般公共预算财政拨款支出决算具体情况</w:t>
      </w:r>
    </w:p>
    <w:p w14:paraId="0395126D">
      <w:pPr>
        <w:ind w:firstLine="640" w:firstLineChars="200"/>
        <w:rPr>
          <w:rFonts w:ascii="仿宋_GB2312" w:eastAsia="仿宋_GB2312"/>
          <w:sz w:val="32"/>
          <w:szCs w:val="32"/>
          <w:lang w:val="zh-CN"/>
        </w:rPr>
      </w:pPr>
      <w:r>
        <w:rPr>
          <w:rFonts w:hint="eastAsia" w:ascii="仿宋_GB2312" w:eastAsia="仿宋_GB2312"/>
          <w:sz w:val="32"/>
          <w:szCs w:val="32"/>
        </w:rPr>
        <w:t>1.住房保障支出（类）住房改革支出（款）住房公积金（项）:支出决算数为150.07万元，比上年决算增加3.8</w:t>
      </w:r>
      <w:r>
        <w:rPr>
          <w:rFonts w:hint="eastAsia" w:ascii="仿宋_GB2312" w:eastAsia="仿宋_GB2312"/>
          <w:sz w:val="32"/>
          <w:szCs w:val="32"/>
          <w:lang w:val="en-US" w:eastAsia="zh-CN"/>
        </w:rPr>
        <w:t>4</w:t>
      </w:r>
      <w:r>
        <w:rPr>
          <w:rFonts w:hint="eastAsia" w:ascii="仿宋_GB2312" w:eastAsia="仿宋_GB2312"/>
          <w:sz w:val="32"/>
          <w:szCs w:val="32"/>
        </w:rPr>
        <w:t>万元，增长2.63%，主要原因是：单位</w:t>
      </w:r>
      <w:r>
        <w:rPr>
          <w:rFonts w:hint="eastAsia" w:ascii="仿宋_GB2312" w:eastAsia="仿宋_GB2312"/>
          <w:sz w:val="32"/>
          <w:szCs w:val="32"/>
          <w:lang w:val="zh-CN"/>
        </w:rPr>
        <w:t>公积金基数增加，人员</w:t>
      </w:r>
      <w:r>
        <w:rPr>
          <w:rFonts w:hint="eastAsia" w:ascii="仿宋_GB2312" w:eastAsia="仿宋_GB2312"/>
          <w:sz w:val="32"/>
          <w:szCs w:val="32"/>
        </w:rPr>
        <w:t>住房公积金缴费增加</w:t>
      </w:r>
      <w:r>
        <w:rPr>
          <w:rFonts w:hint="eastAsia" w:ascii="仿宋_GB2312" w:eastAsia="仿宋_GB2312"/>
          <w:sz w:val="32"/>
          <w:szCs w:val="32"/>
          <w:lang w:val="zh-CN"/>
        </w:rPr>
        <w:t>。</w:t>
      </w:r>
    </w:p>
    <w:p w14:paraId="08F0A369">
      <w:pPr>
        <w:ind w:firstLine="640" w:firstLineChars="200"/>
        <w:rPr>
          <w:rFonts w:ascii="仿宋_GB2312" w:eastAsia="仿宋_GB2312"/>
          <w:sz w:val="32"/>
          <w:szCs w:val="32"/>
          <w:lang w:val="zh-CN"/>
        </w:rPr>
      </w:pPr>
      <w:r>
        <w:rPr>
          <w:rFonts w:hint="eastAsia" w:ascii="仿宋_GB2312" w:eastAsia="仿宋_GB2312"/>
          <w:sz w:val="32"/>
          <w:szCs w:val="32"/>
        </w:rPr>
        <w:t>2.社会保障和就业支出（类）抚恤（款）死亡抚恤（项）:支出决算数为72.37万元，比上年决算增加45.20万元，增长166.3</w:t>
      </w:r>
      <w:r>
        <w:rPr>
          <w:rFonts w:hint="eastAsia" w:ascii="仿宋_GB2312" w:eastAsia="仿宋_GB2312"/>
          <w:sz w:val="32"/>
          <w:szCs w:val="32"/>
          <w:lang w:val="en-US" w:eastAsia="zh-CN"/>
        </w:rPr>
        <w:t>6</w:t>
      </w:r>
      <w:r>
        <w:rPr>
          <w:rFonts w:hint="eastAsia" w:ascii="仿宋_GB2312" w:eastAsia="仿宋_GB2312"/>
          <w:sz w:val="32"/>
          <w:szCs w:val="32"/>
        </w:rPr>
        <w:t>%，主要原因是：2023年有两名职工去世，人员丧葬抚恤金增加</w:t>
      </w:r>
      <w:r>
        <w:rPr>
          <w:rFonts w:hint="eastAsia" w:ascii="仿宋_GB2312" w:eastAsia="仿宋_GB2312"/>
          <w:sz w:val="32"/>
          <w:szCs w:val="32"/>
          <w:lang w:val="zh-CN"/>
        </w:rPr>
        <w:t>。</w:t>
      </w:r>
    </w:p>
    <w:p w14:paraId="12B9B562">
      <w:pPr>
        <w:ind w:firstLine="640" w:firstLineChars="200"/>
        <w:rPr>
          <w:rFonts w:ascii="仿宋_GB2312" w:eastAsia="仿宋_GB2312"/>
          <w:sz w:val="32"/>
          <w:szCs w:val="32"/>
          <w:lang w:val="zh-CN"/>
        </w:rPr>
      </w:pPr>
      <w:r>
        <w:rPr>
          <w:rFonts w:hint="eastAsia" w:ascii="仿宋_GB2312" w:eastAsia="仿宋_GB2312"/>
          <w:sz w:val="32"/>
          <w:szCs w:val="32"/>
        </w:rPr>
        <w:t>3.一般公共服务支出（类）纪检监察事务（款）其他纪检监察事务支出（项）:支出决算数为48.62万元，比上年决算减少11.50万元，下降19.13%，主要原因是：本年单位</w:t>
      </w:r>
      <w:r>
        <w:rPr>
          <w:rFonts w:hint="eastAsia" w:eastAsia="仿宋_GB2312"/>
          <w:sz w:val="32"/>
          <w:szCs w:val="32"/>
          <w:lang w:val="zh-CN"/>
        </w:rPr>
        <w:t>各乡镇纪检监察信息员较上年减少</w:t>
      </w:r>
      <w:r>
        <w:rPr>
          <w:rFonts w:hint="eastAsia" w:ascii="仿宋_GB2312" w:eastAsia="仿宋_GB2312"/>
          <w:sz w:val="32"/>
          <w:szCs w:val="32"/>
          <w:lang w:val="zh-CN"/>
        </w:rPr>
        <w:t>。</w:t>
      </w:r>
    </w:p>
    <w:p w14:paraId="797039F4">
      <w:pPr>
        <w:ind w:firstLine="640" w:firstLineChars="200"/>
        <w:rPr>
          <w:rFonts w:ascii="仿宋_GB2312" w:eastAsia="仿宋_GB2312"/>
          <w:sz w:val="32"/>
          <w:szCs w:val="32"/>
          <w:lang w:val="zh-CN"/>
        </w:rPr>
      </w:pPr>
      <w:r>
        <w:rPr>
          <w:rFonts w:hint="eastAsia" w:ascii="仿宋_GB2312" w:eastAsia="仿宋_GB2312"/>
          <w:sz w:val="32"/>
          <w:szCs w:val="32"/>
        </w:rPr>
        <w:t>4.社会保障和就业支出（类）行政事业单位养老支出（款）行政单位离退休（项）:支出决算数为4.74万元，比上年决算增加2.5</w:t>
      </w:r>
      <w:r>
        <w:rPr>
          <w:rFonts w:hint="eastAsia" w:ascii="仿宋_GB2312" w:eastAsia="仿宋_GB2312"/>
          <w:sz w:val="32"/>
          <w:szCs w:val="32"/>
          <w:lang w:val="en-US" w:eastAsia="zh-CN"/>
        </w:rPr>
        <w:t>5</w:t>
      </w:r>
      <w:r>
        <w:rPr>
          <w:rFonts w:hint="eastAsia" w:ascii="仿宋_GB2312" w:eastAsia="仿宋_GB2312"/>
          <w:sz w:val="32"/>
          <w:szCs w:val="32"/>
        </w:rPr>
        <w:t>万元，增长11</w:t>
      </w:r>
      <w:r>
        <w:rPr>
          <w:rFonts w:hint="eastAsia" w:ascii="仿宋_GB2312" w:eastAsia="仿宋_GB2312"/>
          <w:sz w:val="32"/>
          <w:szCs w:val="32"/>
          <w:lang w:val="en-US" w:eastAsia="zh-CN"/>
        </w:rPr>
        <w:t>6</w:t>
      </w:r>
      <w:r>
        <w:rPr>
          <w:rFonts w:hint="eastAsia" w:ascii="仿宋_GB2312" w:eastAsia="仿宋_GB2312"/>
          <w:sz w:val="32"/>
          <w:szCs w:val="32"/>
        </w:rPr>
        <w:t>.</w:t>
      </w:r>
      <w:r>
        <w:rPr>
          <w:rFonts w:hint="eastAsia" w:ascii="仿宋_GB2312" w:eastAsia="仿宋_GB2312"/>
          <w:sz w:val="32"/>
          <w:szCs w:val="32"/>
          <w:lang w:val="en-US" w:eastAsia="zh-CN"/>
        </w:rPr>
        <w:t>44</w:t>
      </w:r>
      <w:r>
        <w:rPr>
          <w:rFonts w:hint="eastAsia" w:ascii="仿宋_GB2312" w:eastAsia="仿宋_GB2312"/>
          <w:sz w:val="32"/>
          <w:szCs w:val="32"/>
        </w:rPr>
        <w:t>%，主要原因是：单位新增4名退休人员，单位退休人员取暖费、独生子女奖励金较上年增加</w:t>
      </w:r>
      <w:r>
        <w:rPr>
          <w:rFonts w:hint="eastAsia" w:ascii="仿宋_GB2312" w:eastAsia="仿宋_GB2312"/>
          <w:sz w:val="32"/>
          <w:szCs w:val="32"/>
          <w:lang w:val="zh-CN"/>
        </w:rPr>
        <w:t>。</w:t>
      </w:r>
    </w:p>
    <w:p w14:paraId="616C3F2C">
      <w:pPr>
        <w:ind w:firstLine="640" w:firstLineChars="200"/>
        <w:rPr>
          <w:rFonts w:ascii="仿宋_GB2312" w:eastAsia="仿宋_GB2312"/>
          <w:sz w:val="32"/>
          <w:szCs w:val="32"/>
          <w:lang w:val="zh-CN"/>
        </w:rPr>
      </w:pPr>
      <w:r>
        <w:rPr>
          <w:rFonts w:hint="eastAsia" w:ascii="仿宋_GB2312" w:eastAsia="仿宋_GB2312"/>
          <w:sz w:val="32"/>
          <w:szCs w:val="32"/>
        </w:rPr>
        <w:t>5.一般公共服务支出（类）纪检监察事务（款）行政运行（项）:支出决算数为2,128.43万元，比上年决算增加198.70万元，增长10.30%，主要原因是：薪资调增，人员工资、津补贴等人员经费增加</w:t>
      </w:r>
      <w:r>
        <w:rPr>
          <w:rFonts w:hint="eastAsia" w:ascii="仿宋_GB2312" w:eastAsia="仿宋_GB2312"/>
          <w:sz w:val="32"/>
          <w:szCs w:val="32"/>
          <w:lang w:val="zh-CN"/>
        </w:rPr>
        <w:t>。</w:t>
      </w:r>
    </w:p>
    <w:p w14:paraId="10C06CCE">
      <w:pPr>
        <w:ind w:firstLine="640" w:firstLineChars="200"/>
        <w:rPr>
          <w:rFonts w:ascii="仿宋_GB2312" w:eastAsia="仿宋_GB2312"/>
          <w:sz w:val="32"/>
          <w:szCs w:val="32"/>
          <w:lang w:val="zh-CN"/>
        </w:rPr>
      </w:pPr>
      <w:r>
        <w:rPr>
          <w:rFonts w:hint="eastAsia" w:ascii="仿宋_GB2312" w:eastAsia="仿宋_GB2312"/>
          <w:sz w:val="32"/>
          <w:szCs w:val="32"/>
        </w:rPr>
        <w:t>6.社会保障和就业支出（类）行政事业单位养老支出（款）机关事业单位职业年金缴费支出（项）:支出决算数为43.33万元，比上年决算增加30.23万元，增长230.</w:t>
      </w:r>
      <w:r>
        <w:rPr>
          <w:rFonts w:hint="eastAsia" w:ascii="仿宋_GB2312" w:eastAsia="仿宋_GB2312"/>
          <w:sz w:val="32"/>
          <w:szCs w:val="32"/>
          <w:lang w:val="en-US" w:eastAsia="zh-CN"/>
        </w:rPr>
        <w:t>76</w:t>
      </w:r>
      <w:r>
        <w:rPr>
          <w:rFonts w:hint="eastAsia" w:ascii="仿宋_GB2312" w:eastAsia="仿宋_GB2312"/>
          <w:sz w:val="32"/>
          <w:szCs w:val="32"/>
        </w:rPr>
        <w:t>%，主要原因是：单位新增4名退休人员，退休人员职业年金缴费增加</w:t>
      </w:r>
      <w:r>
        <w:rPr>
          <w:rFonts w:hint="eastAsia" w:ascii="仿宋_GB2312" w:eastAsia="仿宋_GB2312"/>
          <w:sz w:val="32"/>
          <w:szCs w:val="32"/>
          <w:lang w:val="zh-CN"/>
        </w:rPr>
        <w:t>。</w:t>
      </w:r>
    </w:p>
    <w:p w14:paraId="411ACAF1">
      <w:pPr>
        <w:ind w:firstLine="640" w:firstLineChars="200"/>
        <w:rPr>
          <w:rFonts w:ascii="仿宋_GB2312" w:eastAsia="仿宋_GB2312"/>
          <w:sz w:val="32"/>
          <w:szCs w:val="32"/>
          <w:lang w:val="zh-CN"/>
        </w:rPr>
      </w:pPr>
      <w:r>
        <w:rPr>
          <w:rFonts w:hint="eastAsia" w:ascii="仿宋_GB2312" w:eastAsia="仿宋_GB2312"/>
          <w:sz w:val="32"/>
          <w:szCs w:val="32"/>
        </w:rPr>
        <w:t>7.其他支出（类）其他支出（款）其他支出（项）:支出决算数为30.69万元，比上年决算增加12.57万元，增长69.3</w:t>
      </w:r>
      <w:r>
        <w:rPr>
          <w:rFonts w:hint="eastAsia" w:ascii="仿宋_GB2312" w:eastAsia="仿宋_GB2312"/>
          <w:sz w:val="32"/>
          <w:szCs w:val="32"/>
          <w:lang w:val="en-US" w:eastAsia="zh-CN"/>
        </w:rPr>
        <w:t>7</w:t>
      </w:r>
      <w:r>
        <w:rPr>
          <w:rFonts w:hint="eastAsia" w:ascii="仿宋_GB2312" w:eastAsia="仿宋_GB2312"/>
          <w:sz w:val="32"/>
          <w:szCs w:val="32"/>
        </w:rPr>
        <w:t>%，主要原因是：本年单位增加为民办实事业务经费</w:t>
      </w:r>
      <w:r>
        <w:rPr>
          <w:rFonts w:hint="eastAsia" w:ascii="仿宋_GB2312" w:eastAsia="仿宋_GB2312"/>
          <w:sz w:val="32"/>
          <w:szCs w:val="32"/>
          <w:lang w:val="zh-CN"/>
        </w:rPr>
        <w:t>。</w:t>
      </w:r>
    </w:p>
    <w:p w14:paraId="3BE84A8E">
      <w:pPr>
        <w:ind w:firstLine="640" w:firstLineChars="200"/>
        <w:rPr>
          <w:rFonts w:ascii="仿宋_GB2312" w:eastAsia="仿宋_GB2312"/>
          <w:sz w:val="32"/>
          <w:szCs w:val="32"/>
          <w:lang w:val="zh-CN"/>
        </w:rPr>
      </w:pPr>
      <w:r>
        <w:rPr>
          <w:rFonts w:hint="eastAsia" w:ascii="仿宋_GB2312" w:eastAsia="仿宋_GB2312"/>
          <w:sz w:val="32"/>
          <w:szCs w:val="32"/>
        </w:rPr>
        <w:t>8.社会保障和就业支出（类）行政事业单位养老支出（款）机关事业单位基本养老保险缴费支出（项）:支出决算数为195.21万元，比上年决算增加7.34万元，增长3.91%，主要原因是：</w:t>
      </w:r>
      <w:r>
        <w:rPr>
          <w:rFonts w:hint="eastAsia" w:eastAsia="仿宋_GB2312"/>
          <w:sz w:val="32"/>
          <w:szCs w:val="32"/>
        </w:rPr>
        <w:t>本年单位社保缴费基数调增，人员养老保险缴费增加</w:t>
      </w:r>
      <w:r>
        <w:rPr>
          <w:rFonts w:hint="eastAsia" w:ascii="仿宋_GB2312" w:eastAsia="仿宋_GB2312"/>
          <w:sz w:val="32"/>
          <w:szCs w:val="32"/>
          <w:lang w:val="zh-CN"/>
        </w:rPr>
        <w:t>。</w:t>
      </w:r>
    </w:p>
    <w:p w14:paraId="5980FC9B">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六、一般公共预算财政拨款基本支出决算情况说明</w:t>
      </w:r>
    </w:p>
    <w:p w14:paraId="4467AA0A">
      <w:pPr>
        <w:ind w:firstLine="640" w:firstLineChars="200"/>
        <w:jc w:val="left"/>
        <w:rPr>
          <w:rFonts w:ascii="仿宋_GB2312" w:eastAsia="仿宋_GB2312"/>
          <w:sz w:val="32"/>
          <w:szCs w:val="32"/>
        </w:rPr>
      </w:pPr>
      <w:r>
        <w:rPr>
          <w:rFonts w:hint="eastAsia" w:ascii="仿宋_GB2312" w:eastAsia="仿宋_GB2312"/>
          <w:sz w:val="32"/>
          <w:szCs w:val="32"/>
        </w:rPr>
        <w:t>2023年度一般公共预算财政拨款基本支出2,660.92万元，其中：人员经费2,100.79万元，包括：基本工资、津贴补贴、奖金、机关事业单位基本养老保险缴费、职业年金缴费、职工基本医疗保险缴费、公务员医疗补助缴费、其他社会保障缴费、住房公积金、退休费、抚恤金、生活补助、奖励金、其他对个人和家庭的补助。</w:t>
      </w:r>
    </w:p>
    <w:p w14:paraId="57F31268">
      <w:pPr>
        <w:ind w:firstLine="640" w:firstLineChars="200"/>
        <w:jc w:val="left"/>
        <w:rPr>
          <w:rFonts w:ascii="仿宋_GB2312" w:eastAsia="仿宋_GB2312"/>
          <w:sz w:val="32"/>
          <w:szCs w:val="32"/>
        </w:rPr>
      </w:pPr>
      <w:r>
        <w:rPr>
          <w:rFonts w:hint="eastAsia" w:ascii="仿宋_GB2312" w:eastAsia="仿宋_GB2312"/>
          <w:sz w:val="32"/>
          <w:szCs w:val="32"/>
        </w:rPr>
        <w:t>公用经费560.13万元，包括：办公费、印刷费、水费、电费、邮电费、取暖费、物业管理费、差旅费、维修（护）费、租赁费、会议费、公务接待费、劳务费、工会经费、公务用车运行维护费、其他交通费用、其他商品和服务支出。</w:t>
      </w:r>
    </w:p>
    <w:p w14:paraId="2315F248">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七、财政拨款“三公”经费支出决算情况说明</w:t>
      </w:r>
    </w:p>
    <w:p w14:paraId="1BFC671C">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2023年度</w:t>
      </w:r>
      <w:r>
        <w:rPr>
          <w:rFonts w:hint="eastAsia" w:ascii="仿宋_GB2312" w:eastAsia="仿宋_GB2312"/>
          <w:sz w:val="32"/>
          <w:szCs w:val="32"/>
        </w:rPr>
        <w:t>财政拨款</w:t>
      </w:r>
      <w:r>
        <w:rPr>
          <w:rFonts w:hint="eastAsia" w:ascii="仿宋_GB2312" w:eastAsia="仿宋_GB2312"/>
          <w:sz w:val="32"/>
          <w:szCs w:val="32"/>
          <w:lang w:val="zh-CN"/>
        </w:rPr>
        <w:t>“三公”经费支出39.88万元，</w:t>
      </w:r>
      <w:r>
        <w:rPr>
          <w:rFonts w:hint="eastAsia" w:ascii="仿宋_GB2312" w:eastAsia="仿宋_GB2312"/>
          <w:sz w:val="32"/>
          <w:szCs w:val="32"/>
        </w:rPr>
        <w:t>比上年</w:t>
      </w:r>
      <w:r>
        <w:rPr>
          <w:rFonts w:hint="eastAsia" w:ascii="仿宋_GB2312" w:eastAsia="仿宋_GB2312"/>
          <w:sz w:val="32"/>
          <w:szCs w:val="32"/>
          <w:lang w:val="zh-CN"/>
        </w:rPr>
        <w:t>减少0.12万元，</w:t>
      </w:r>
      <w:r>
        <w:rPr>
          <w:rFonts w:hint="eastAsia" w:ascii="仿宋_GB2312" w:eastAsia="仿宋_GB2312"/>
          <w:sz w:val="32"/>
          <w:szCs w:val="32"/>
        </w:rPr>
        <w:t>下降0.30%,</w:t>
      </w:r>
      <w:r>
        <w:rPr>
          <w:rFonts w:hint="eastAsia" w:ascii="仿宋_GB2312" w:eastAsia="仿宋_GB2312"/>
          <w:sz w:val="32"/>
          <w:szCs w:val="32"/>
          <w:lang w:val="zh-CN"/>
        </w:rPr>
        <w:t>主要原因是：车辆减少出行，车辆维修费、燃油费等较上年减少。其中：因公出国（境）费支出0.00万元，占0.00%，比上年增加0.00万元，</w:t>
      </w:r>
      <w:r>
        <w:rPr>
          <w:rFonts w:hint="eastAsia" w:ascii="仿宋_GB2312" w:eastAsia="仿宋_GB2312"/>
          <w:sz w:val="32"/>
          <w:szCs w:val="32"/>
        </w:rPr>
        <w:t>增长0.00%,</w:t>
      </w:r>
      <w:r>
        <w:rPr>
          <w:rFonts w:hint="eastAsia" w:ascii="仿宋_GB2312" w:eastAsia="仿宋_GB2312"/>
          <w:sz w:val="32"/>
          <w:szCs w:val="32"/>
          <w:lang w:val="zh-CN"/>
        </w:rPr>
        <w:t>主要原因是：本年无此项经费；公务用车购置及运行维护费支出34.88万元，占87.46%，比上年减少0.12万元，</w:t>
      </w:r>
      <w:r>
        <w:rPr>
          <w:rFonts w:hint="eastAsia" w:ascii="仿宋_GB2312" w:eastAsia="仿宋_GB2312"/>
          <w:sz w:val="32"/>
          <w:szCs w:val="32"/>
        </w:rPr>
        <w:t>下降0.3</w:t>
      </w:r>
      <w:r>
        <w:rPr>
          <w:rFonts w:hint="eastAsia" w:ascii="仿宋_GB2312" w:eastAsia="仿宋_GB2312"/>
          <w:sz w:val="32"/>
          <w:szCs w:val="32"/>
          <w:lang w:val="en-US" w:eastAsia="zh-CN"/>
        </w:rPr>
        <w:t>4</w:t>
      </w:r>
      <w:r>
        <w:rPr>
          <w:rFonts w:hint="eastAsia" w:ascii="仿宋_GB2312" w:eastAsia="仿宋_GB2312"/>
          <w:sz w:val="32"/>
          <w:szCs w:val="32"/>
        </w:rPr>
        <w:t>%,</w:t>
      </w:r>
      <w:r>
        <w:rPr>
          <w:rFonts w:hint="eastAsia" w:ascii="仿宋_GB2312" w:eastAsia="仿宋_GB2312"/>
          <w:sz w:val="32"/>
          <w:szCs w:val="32"/>
          <w:lang w:val="zh-CN"/>
        </w:rPr>
        <w:t>主要原因是：车辆减少出行，车辆维修费、燃油费等较上年减少；公务接待费支出5.00万元，占12.54%，比上年增加0.00万元，</w:t>
      </w:r>
      <w:r>
        <w:rPr>
          <w:rFonts w:hint="eastAsia" w:ascii="仿宋_GB2312" w:eastAsia="仿宋_GB2312"/>
          <w:sz w:val="32"/>
          <w:szCs w:val="32"/>
        </w:rPr>
        <w:t>增长0.00%,</w:t>
      </w:r>
      <w:r>
        <w:rPr>
          <w:rFonts w:hint="eastAsia" w:ascii="仿宋_GB2312" w:eastAsia="仿宋_GB2312"/>
          <w:sz w:val="32"/>
          <w:szCs w:val="32"/>
          <w:lang w:val="zh-CN"/>
        </w:rPr>
        <w:t>主要原因是：与上年对比无差异。</w:t>
      </w:r>
    </w:p>
    <w:p w14:paraId="3D0C646E">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具体情况如下：</w:t>
      </w:r>
    </w:p>
    <w:p w14:paraId="1F759FD6">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因公出国（境）费支出0.00万元，开支内容包括本年无此项经费。单位全年安排的因公出国（境）团组0个，因公出国（境）0人次。</w:t>
      </w:r>
    </w:p>
    <w:p w14:paraId="7E81A057">
      <w:pPr>
        <w:ind w:firstLine="640" w:firstLineChars="200"/>
        <w:jc w:val="left"/>
        <w:rPr>
          <w:rFonts w:ascii="仿宋_GB2312" w:eastAsia="仿宋_GB2312"/>
          <w:sz w:val="32"/>
          <w:szCs w:val="32"/>
        </w:rPr>
      </w:pPr>
      <w:r>
        <w:rPr>
          <w:rFonts w:hint="eastAsia" w:ascii="仿宋_GB2312" w:eastAsia="仿宋_GB2312"/>
          <w:sz w:val="32"/>
          <w:szCs w:val="32"/>
          <w:lang w:val="zh-CN"/>
        </w:rPr>
        <w:t>公务用车购置及运行维护费34.88万元，其中：公务用车购置费0.00万元，公务用车运行维护费34.88万元。公务用车运行维护费开支内容包括</w:t>
      </w:r>
      <w:r>
        <w:rPr>
          <w:rFonts w:hint="eastAsia" w:ascii="仿宋_GB2312" w:eastAsia="仿宋_GB2312" w:cs="仿宋_GB2312"/>
          <w:kern w:val="0"/>
          <w:sz w:val="32"/>
          <w:szCs w:val="32"/>
        </w:rPr>
        <w:t>公务用车燃油费、车辆维修维护费、保险费、过路费等</w:t>
      </w:r>
      <w:r>
        <w:rPr>
          <w:rFonts w:hint="eastAsia" w:ascii="仿宋_GB2312" w:eastAsia="仿宋_GB2312"/>
          <w:sz w:val="32"/>
          <w:szCs w:val="32"/>
          <w:lang w:val="zh-CN"/>
        </w:rPr>
        <w:t>。公务用车购置数0辆，公务用车保有量14辆。国有资产占用情况</w:t>
      </w:r>
      <w:r>
        <w:rPr>
          <w:rFonts w:hint="eastAsia" w:ascii="仿宋_GB2312" w:eastAsia="仿宋_GB2312"/>
          <w:sz w:val="32"/>
          <w:szCs w:val="32"/>
        </w:rPr>
        <w:t>中固定资产车辆</w:t>
      </w:r>
      <w:r>
        <w:rPr>
          <w:rFonts w:hint="eastAsia" w:ascii="仿宋_GB2312" w:eastAsia="仿宋_GB2312"/>
          <w:sz w:val="32"/>
          <w:szCs w:val="32"/>
          <w:lang w:val="zh-CN"/>
        </w:rPr>
        <w:t>9辆，</w:t>
      </w:r>
      <w:r>
        <w:rPr>
          <w:rFonts w:hint="eastAsia" w:ascii="仿宋_GB2312" w:eastAsia="仿宋_GB2312"/>
          <w:sz w:val="32"/>
          <w:szCs w:val="32"/>
        </w:rPr>
        <w:t>与</w:t>
      </w:r>
      <w:r>
        <w:rPr>
          <w:rFonts w:hint="eastAsia" w:ascii="仿宋_GB2312" w:eastAsia="仿宋_GB2312"/>
          <w:sz w:val="32"/>
          <w:szCs w:val="32"/>
          <w:lang w:val="zh-CN"/>
        </w:rPr>
        <w:t>公务用车</w:t>
      </w:r>
      <w:r>
        <w:rPr>
          <w:rFonts w:hint="eastAsia" w:ascii="仿宋_GB2312" w:eastAsia="仿宋_GB2312"/>
          <w:sz w:val="32"/>
          <w:szCs w:val="32"/>
        </w:rPr>
        <w:t>保有量差异</w:t>
      </w:r>
      <w:r>
        <w:rPr>
          <w:rFonts w:hint="eastAsia" w:ascii="仿宋_GB2312" w:eastAsia="仿宋_GB2312"/>
          <w:sz w:val="32"/>
          <w:szCs w:val="32"/>
          <w:lang w:val="zh-CN"/>
        </w:rPr>
        <w:t>原因是：我单位借用其他单位车辆，公务用车维护费在我单位反应。</w:t>
      </w:r>
    </w:p>
    <w:p w14:paraId="4DF1345F">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公务接待费5.00万元，开支内容包括人员接待的餐饮费及住宿费。单位全年安排的国内公务接待48批次，1</w:t>
      </w:r>
      <w:r>
        <w:rPr>
          <w:rFonts w:ascii="仿宋_GB2312" w:eastAsia="仿宋_GB2312"/>
          <w:sz w:val="32"/>
          <w:szCs w:val="32"/>
          <w:lang w:val="zh-CN"/>
        </w:rPr>
        <w:t>,</w:t>
      </w:r>
      <w:r>
        <w:rPr>
          <w:rFonts w:hint="eastAsia" w:ascii="仿宋_GB2312" w:eastAsia="仿宋_GB2312"/>
          <w:sz w:val="32"/>
          <w:szCs w:val="32"/>
          <w:lang w:val="zh-CN"/>
        </w:rPr>
        <w:t>800人次。</w:t>
      </w:r>
    </w:p>
    <w:p w14:paraId="397309A3">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与</w:t>
      </w:r>
      <w:r>
        <w:rPr>
          <w:rFonts w:hint="eastAsia" w:ascii="仿宋_GB2312" w:eastAsia="仿宋_GB2312"/>
          <w:sz w:val="32"/>
          <w:szCs w:val="32"/>
        </w:rPr>
        <w:t>全年</w:t>
      </w:r>
      <w:r>
        <w:rPr>
          <w:rFonts w:hint="eastAsia" w:ascii="仿宋_GB2312" w:eastAsia="仿宋_GB2312"/>
          <w:sz w:val="32"/>
          <w:szCs w:val="32"/>
          <w:lang w:val="zh-CN"/>
        </w:rPr>
        <w:t>预算相比</w:t>
      </w:r>
      <w:r>
        <w:rPr>
          <w:rFonts w:hint="eastAsia" w:ascii="仿宋_GB2312" w:eastAsia="仿宋_GB2312"/>
          <w:sz w:val="32"/>
          <w:szCs w:val="32"/>
        </w:rPr>
        <w:t>,</w:t>
      </w:r>
      <w:r>
        <w:rPr>
          <w:rFonts w:hint="eastAsia" w:ascii="仿宋_GB2312" w:eastAsia="仿宋_GB2312"/>
          <w:sz w:val="32"/>
          <w:szCs w:val="32"/>
          <w:lang w:val="zh-CN"/>
        </w:rPr>
        <w:t>财政拨款“三公”经费支出</w:t>
      </w:r>
      <w:r>
        <w:rPr>
          <w:rFonts w:hint="eastAsia" w:ascii="仿宋_GB2312" w:eastAsia="仿宋_GB2312"/>
          <w:sz w:val="32"/>
          <w:szCs w:val="32"/>
        </w:rPr>
        <w:t>全年</w:t>
      </w:r>
      <w:r>
        <w:rPr>
          <w:rFonts w:hint="eastAsia" w:ascii="仿宋_GB2312" w:eastAsia="仿宋_GB2312"/>
          <w:sz w:val="32"/>
          <w:szCs w:val="32"/>
          <w:lang w:val="zh-CN"/>
        </w:rPr>
        <w:t>预算数39.88万元，决算数39.88万元，预决算差异率0.00%，主要原因是：本年严格按年初预算执行“三公”经费，预决算对比无差异。其中：因公出国（境）费</w:t>
      </w:r>
      <w:r>
        <w:rPr>
          <w:rFonts w:hint="eastAsia" w:ascii="仿宋_GB2312" w:eastAsia="仿宋_GB2312"/>
          <w:sz w:val="32"/>
          <w:szCs w:val="32"/>
        </w:rPr>
        <w:t>全年预算数</w:t>
      </w:r>
      <w:r>
        <w:rPr>
          <w:rFonts w:hint="eastAsia" w:ascii="仿宋_GB2312" w:eastAsia="仿宋_GB2312"/>
          <w:sz w:val="32"/>
          <w:szCs w:val="32"/>
          <w:lang w:val="zh-CN"/>
        </w:rPr>
        <w:t>0.00万元，决算数0.00万元，预决算差异率0.00%，主要原因是：本年无此项经费；公务用车购置费</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预算数0.00万元，决算数0.00万元，预决算差异率0.00%，主要原因是：本年无此项经费；公务用车运行费</w:t>
      </w:r>
      <w:r>
        <w:rPr>
          <w:rFonts w:hint="eastAsia" w:ascii="仿宋_GB2312" w:eastAsia="仿宋_GB2312"/>
          <w:sz w:val="32"/>
          <w:szCs w:val="32"/>
        </w:rPr>
        <w:t>全年</w:t>
      </w:r>
      <w:r>
        <w:rPr>
          <w:rFonts w:hint="eastAsia" w:ascii="仿宋_GB2312" w:eastAsia="仿宋_GB2312"/>
          <w:sz w:val="32"/>
          <w:szCs w:val="32"/>
          <w:lang w:val="zh-CN"/>
        </w:rPr>
        <w:t>预算数34.88万元，决算数34.88万元，预决算差异率0.00%，主要原因是：本年严格按年初预算执行“三公”经费，预决算对比无差异；公务接待费</w:t>
      </w:r>
      <w:r>
        <w:rPr>
          <w:rFonts w:hint="eastAsia" w:ascii="仿宋_GB2312" w:eastAsia="仿宋_GB2312"/>
          <w:sz w:val="32"/>
          <w:szCs w:val="32"/>
        </w:rPr>
        <w:t>全年</w:t>
      </w:r>
      <w:r>
        <w:rPr>
          <w:rFonts w:hint="eastAsia" w:ascii="仿宋_GB2312" w:eastAsia="仿宋_GB2312"/>
          <w:sz w:val="32"/>
          <w:szCs w:val="32"/>
          <w:lang w:val="zh-CN"/>
        </w:rPr>
        <w:t>预算数5.00万元，决算数5.00万元，预决算差异率0.00%，主要原因是：本年严格按年初预算执行“三公”经费，预决算对比无差异。</w:t>
      </w:r>
    </w:p>
    <w:p w14:paraId="0D4585FD">
      <w:pPr>
        <w:ind w:firstLine="640" w:firstLineChars="200"/>
        <w:jc w:val="left"/>
        <w:outlineLvl w:val="1"/>
        <w:rPr>
          <w:rFonts w:hint="eastAsia" w:ascii="黑体" w:hAnsi="黑体" w:eastAsia="黑体" w:cs="宋体"/>
          <w:bCs/>
          <w:kern w:val="0"/>
          <w:sz w:val="32"/>
          <w:szCs w:val="32"/>
        </w:rPr>
      </w:pPr>
      <w:bookmarkStart w:id="18" w:name="_Toc7927"/>
      <w:bookmarkStart w:id="19" w:name="_Toc5810"/>
      <w:r>
        <w:rPr>
          <w:rFonts w:hint="eastAsia" w:ascii="黑体" w:hAnsi="黑体" w:eastAsia="黑体" w:cs="宋体"/>
          <w:bCs/>
          <w:kern w:val="0"/>
          <w:sz w:val="32"/>
          <w:szCs w:val="32"/>
        </w:rPr>
        <w:t>八、政府性基金预算财政拨款收入支出决算情况说明</w:t>
      </w:r>
      <w:bookmarkEnd w:id="18"/>
      <w:bookmarkEnd w:id="19"/>
    </w:p>
    <w:p w14:paraId="3F31F13C">
      <w:pPr>
        <w:ind w:firstLine="640" w:firstLineChars="200"/>
        <w:jc w:val="left"/>
        <w:rPr>
          <w:rFonts w:ascii="仿宋_GB2312" w:eastAsia="仿宋_GB2312"/>
          <w:sz w:val="32"/>
          <w:szCs w:val="32"/>
        </w:rPr>
      </w:pPr>
      <w:r>
        <w:rPr>
          <w:rFonts w:hint="eastAsia" w:ascii="仿宋_GB2312" w:eastAsia="仿宋_GB2312"/>
          <w:sz w:val="32"/>
          <w:szCs w:val="32"/>
        </w:rPr>
        <w:t>我单位本年度无政府性基金预算财政拨款收入、支出及结转和结余，政府性基金预算财政拨款收入支出决算表为空表。</w:t>
      </w:r>
    </w:p>
    <w:p w14:paraId="7A0058B8">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九、国有资本经营预算财政拨款收入支出决算情况说明</w:t>
      </w:r>
    </w:p>
    <w:p w14:paraId="7A588772">
      <w:pPr>
        <w:ind w:firstLine="640" w:firstLineChars="200"/>
        <w:jc w:val="left"/>
        <w:rPr>
          <w:rFonts w:ascii="仿宋_GB2312" w:eastAsia="仿宋_GB2312"/>
          <w:sz w:val="32"/>
          <w:szCs w:val="32"/>
        </w:rPr>
      </w:pPr>
      <w:r>
        <w:rPr>
          <w:rFonts w:hint="eastAsia" w:ascii="仿宋_GB2312" w:eastAsia="仿宋_GB2312"/>
          <w:sz w:val="32"/>
          <w:szCs w:val="32"/>
        </w:rPr>
        <w:t>我单位本年度无国有资本经营预算财政拨款收入、支出及结转和结余，国有资本经营预算财政拨款收入支出决算表为空表。</w:t>
      </w:r>
    </w:p>
    <w:p w14:paraId="31512351">
      <w:pPr>
        <w:ind w:firstLine="640" w:firstLineChars="200"/>
        <w:jc w:val="left"/>
        <w:outlineLvl w:val="1"/>
        <w:rPr>
          <w:rFonts w:hint="eastAsia" w:ascii="黑体" w:hAnsi="黑体" w:eastAsia="黑体" w:cs="宋体"/>
          <w:bCs/>
          <w:kern w:val="0"/>
          <w:sz w:val="32"/>
          <w:szCs w:val="32"/>
        </w:rPr>
      </w:pPr>
      <w:bookmarkStart w:id="20" w:name="_Toc7314"/>
      <w:bookmarkStart w:id="21" w:name="_Toc1235"/>
      <w:r>
        <w:rPr>
          <w:rFonts w:hint="eastAsia" w:ascii="黑体" w:hAnsi="黑体" w:eastAsia="黑体" w:cs="宋体"/>
          <w:bCs/>
          <w:kern w:val="0"/>
          <w:sz w:val="32"/>
          <w:szCs w:val="32"/>
        </w:rPr>
        <w:t>十、其他重要事项的情况说明</w:t>
      </w:r>
      <w:bookmarkEnd w:id="20"/>
      <w:bookmarkEnd w:id="21"/>
    </w:p>
    <w:p w14:paraId="10C49A7E">
      <w:pPr>
        <w:ind w:firstLine="640" w:firstLineChars="200"/>
        <w:jc w:val="left"/>
        <w:outlineLvl w:val="2"/>
        <w:rPr>
          <w:rFonts w:hint="eastAsia" w:ascii="黑体" w:hAnsi="黑体" w:eastAsia="黑体"/>
          <w:sz w:val="32"/>
          <w:szCs w:val="32"/>
        </w:rPr>
      </w:pPr>
      <w:bookmarkStart w:id="22" w:name="_Toc14519"/>
      <w:bookmarkStart w:id="23" w:name="_Toc13105"/>
      <w:r>
        <w:rPr>
          <w:rFonts w:hint="eastAsia" w:ascii="黑体" w:hAnsi="黑体" w:eastAsia="黑体"/>
          <w:sz w:val="32"/>
          <w:szCs w:val="32"/>
        </w:rPr>
        <w:t>（一）机关运行经费支出情况</w:t>
      </w:r>
      <w:bookmarkEnd w:id="22"/>
      <w:bookmarkEnd w:id="23"/>
    </w:p>
    <w:p w14:paraId="616792DD">
      <w:pPr>
        <w:ind w:firstLine="640" w:firstLineChars="200"/>
        <w:jc w:val="left"/>
        <w:rPr>
          <w:rFonts w:ascii="仿宋_GB2312" w:eastAsia="仿宋_GB2312"/>
          <w:sz w:val="32"/>
          <w:szCs w:val="32"/>
        </w:rPr>
      </w:pPr>
      <w:bookmarkStart w:id="24" w:name="_Toc227"/>
      <w:bookmarkStart w:id="25" w:name="_Toc26704"/>
      <w:r>
        <w:rPr>
          <w:rFonts w:hint="eastAsia" w:ascii="仿宋_GB2312" w:eastAsia="仿宋_GB2312"/>
          <w:sz w:val="32"/>
          <w:szCs w:val="32"/>
        </w:rPr>
        <w:t>2023年度木垒哈萨克自治县纪律检查委员会（行政单位和参照公务员法管理事业单位）机关运行经费支出560.13万元，比上年增加194.45万元，增长53.17%</w:t>
      </w:r>
      <w:bookmarkStart w:id="48" w:name="_GoBack"/>
      <w:bookmarkEnd w:id="48"/>
      <w:r>
        <w:rPr>
          <w:rFonts w:hint="eastAsia" w:ascii="仿宋_GB2312" w:eastAsia="仿宋_GB2312"/>
          <w:sz w:val="32"/>
          <w:szCs w:val="32"/>
        </w:rPr>
        <w:t>,主要原因是：本年单位办公经费、水电费、取暖费等较上年增加。</w:t>
      </w:r>
    </w:p>
    <w:p w14:paraId="5D79FFE0">
      <w:pPr>
        <w:ind w:firstLine="640" w:firstLineChars="200"/>
        <w:jc w:val="left"/>
        <w:rPr>
          <w:rFonts w:eastAsia="黑体"/>
          <w:sz w:val="32"/>
          <w:szCs w:val="30"/>
          <w:lang w:val="zh-CN"/>
        </w:rPr>
      </w:pPr>
      <w:r>
        <w:rPr>
          <w:rFonts w:hint="eastAsia" w:eastAsia="黑体"/>
          <w:sz w:val="32"/>
          <w:szCs w:val="30"/>
          <w:lang w:val="zh-CN"/>
        </w:rPr>
        <w:t>（二）政府采购情况</w:t>
      </w:r>
      <w:bookmarkEnd w:id="24"/>
      <w:bookmarkEnd w:id="25"/>
    </w:p>
    <w:p w14:paraId="2C5A1B2E">
      <w:pPr>
        <w:ind w:firstLine="640" w:firstLineChars="200"/>
        <w:jc w:val="left"/>
        <w:rPr>
          <w:rFonts w:ascii="仿宋_GB2312" w:eastAsia="仿宋_GB2312"/>
          <w:sz w:val="32"/>
          <w:szCs w:val="32"/>
        </w:rPr>
      </w:pPr>
      <w:r>
        <w:rPr>
          <w:rFonts w:hint="eastAsia" w:ascii="仿宋_GB2312" w:eastAsia="仿宋_GB2312"/>
          <w:sz w:val="32"/>
          <w:szCs w:val="32"/>
        </w:rPr>
        <w:t>2023年度政府采购支出总额198.57万元，其中：政府采购货物支出105.68万元、政府采购工程支出51.99万元、政府采购服务支出40.90万元。</w:t>
      </w:r>
    </w:p>
    <w:p w14:paraId="17D16F48">
      <w:pPr>
        <w:ind w:firstLine="640" w:firstLineChars="200"/>
        <w:jc w:val="left"/>
        <w:rPr>
          <w:rFonts w:ascii="仿宋_GB2312" w:eastAsia="仿宋_GB2312"/>
          <w:sz w:val="32"/>
          <w:szCs w:val="32"/>
        </w:rPr>
      </w:pPr>
      <w:r>
        <w:rPr>
          <w:rFonts w:hint="eastAsia" w:ascii="仿宋_GB2312" w:eastAsia="仿宋_GB2312"/>
          <w:sz w:val="32"/>
          <w:szCs w:val="32"/>
        </w:rPr>
        <w:t>授予中小企业合同金额192.50万元，占政府采购支出总额的96.94</w:t>
      </w:r>
      <w:r>
        <w:rPr>
          <w:rFonts w:ascii="仿宋_GB2312" w:eastAsia="仿宋_GB2312"/>
          <w:sz w:val="32"/>
          <w:szCs w:val="32"/>
        </w:rPr>
        <w:t>%</w:t>
      </w:r>
      <w:r>
        <w:rPr>
          <w:rFonts w:hint="eastAsia" w:ascii="仿宋_GB2312" w:eastAsia="仿宋_GB2312"/>
          <w:sz w:val="32"/>
          <w:szCs w:val="32"/>
        </w:rPr>
        <w:t>，其中：授予小微企业合同金额170.32万元，占政府采购支出总额的85.77</w:t>
      </w:r>
      <w:r>
        <w:rPr>
          <w:rFonts w:ascii="仿宋_GB2312" w:eastAsia="仿宋_GB2312"/>
          <w:sz w:val="32"/>
          <w:szCs w:val="32"/>
        </w:rPr>
        <w:t>%</w:t>
      </w:r>
      <w:r>
        <w:rPr>
          <w:rFonts w:hint="eastAsia" w:ascii="仿宋_GB2312" w:eastAsia="仿宋_GB2312"/>
          <w:sz w:val="32"/>
          <w:szCs w:val="32"/>
        </w:rPr>
        <w:t>。</w:t>
      </w:r>
    </w:p>
    <w:p w14:paraId="58A6E024">
      <w:pPr>
        <w:ind w:firstLine="640" w:firstLineChars="200"/>
        <w:jc w:val="left"/>
        <w:rPr>
          <w:rFonts w:eastAsia="黑体"/>
          <w:sz w:val="32"/>
          <w:szCs w:val="30"/>
          <w:lang w:val="zh-CN"/>
        </w:rPr>
      </w:pPr>
      <w:bookmarkStart w:id="26" w:name="_Toc4591"/>
      <w:bookmarkStart w:id="27" w:name="_Toc8391"/>
      <w:r>
        <w:rPr>
          <w:rFonts w:hint="eastAsia" w:eastAsia="黑体"/>
          <w:sz w:val="32"/>
          <w:szCs w:val="30"/>
          <w:lang w:val="zh-CN"/>
        </w:rPr>
        <w:t>（三）国有资产占用情况说明</w:t>
      </w:r>
      <w:bookmarkEnd w:id="26"/>
      <w:bookmarkEnd w:id="27"/>
    </w:p>
    <w:p w14:paraId="14F1ADC2">
      <w:pPr>
        <w:ind w:firstLine="640" w:firstLineChars="200"/>
        <w:jc w:val="left"/>
        <w:rPr>
          <w:rFonts w:ascii="仿宋_GB2312" w:eastAsia="仿宋_GB2312"/>
          <w:sz w:val="32"/>
          <w:szCs w:val="32"/>
        </w:rPr>
      </w:pPr>
      <w:r>
        <w:rPr>
          <w:rFonts w:hint="eastAsia" w:ascii="仿宋_GB2312" w:eastAsia="仿宋_GB2312"/>
          <w:sz w:val="32"/>
          <w:szCs w:val="32"/>
        </w:rPr>
        <w:t>截至2023年12月31日，固定资产原值731.45万元，房屋2</w:t>
      </w:r>
      <w:r>
        <w:rPr>
          <w:rFonts w:ascii="仿宋_GB2312" w:eastAsia="仿宋_GB2312"/>
          <w:sz w:val="32"/>
          <w:szCs w:val="32"/>
        </w:rPr>
        <w:t>,</w:t>
      </w:r>
      <w:r>
        <w:rPr>
          <w:rFonts w:hint="eastAsia" w:ascii="仿宋_GB2312" w:eastAsia="仿宋_GB2312"/>
          <w:sz w:val="32"/>
          <w:szCs w:val="32"/>
        </w:rPr>
        <w:t>293.0</w:t>
      </w:r>
      <w:r>
        <w:rPr>
          <w:rFonts w:ascii="仿宋_GB2312" w:eastAsia="仿宋_GB2312"/>
          <w:sz w:val="32"/>
          <w:szCs w:val="32"/>
        </w:rPr>
        <w:t>0</w:t>
      </w:r>
      <w:r>
        <w:rPr>
          <w:rFonts w:hint="eastAsia" w:ascii="仿宋_GB2312" w:eastAsia="仿宋_GB2312"/>
          <w:sz w:val="32"/>
          <w:szCs w:val="32"/>
        </w:rPr>
        <w:t>平方米，价值200.73万元。车辆9辆，价值142.52万元，其中：副部（省）级及以上领导用车0辆、主要负责人用车0辆、机要通信用车0辆、应急保障用车0辆、执法执勤用车7辆、特种专业技术用车0辆、离退休干部服务用车0辆、其他用车2辆，其他用车主要是：单位业务用车；单价100万元（含）以上设备（不含车辆）0台（套）。</w:t>
      </w:r>
    </w:p>
    <w:p w14:paraId="16A39570">
      <w:pPr>
        <w:ind w:firstLine="640" w:firstLineChars="200"/>
        <w:jc w:val="left"/>
        <w:outlineLvl w:val="1"/>
        <w:rPr>
          <w:rFonts w:hint="eastAsia" w:ascii="黑体" w:hAnsi="黑体" w:eastAsia="黑体" w:cs="宋体"/>
          <w:bCs/>
          <w:kern w:val="0"/>
          <w:sz w:val="32"/>
          <w:szCs w:val="32"/>
        </w:rPr>
      </w:pPr>
      <w:bookmarkStart w:id="28" w:name="_Toc11283"/>
      <w:bookmarkStart w:id="29" w:name="_Toc435"/>
      <w:r>
        <w:rPr>
          <w:rFonts w:hint="eastAsia" w:ascii="黑体" w:hAnsi="黑体" w:eastAsia="黑体" w:cs="宋体"/>
          <w:bCs/>
          <w:kern w:val="0"/>
          <w:sz w:val="32"/>
          <w:szCs w:val="32"/>
        </w:rPr>
        <w:t>十一、预算绩效的情况说明</w:t>
      </w:r>
      <w:bookmarkEnd w:id="28"/>
      <w:bookmarkEnd w:id="29"/>
    </w:p>
    <w:p w14:paraId="1CA8B8BD">
      <w:pPr>
        <w:ind w:firstLine="640" w:firstLineChars="200"/>
        <w:jc w:val="left"/>
        <w:rPr>
          <w:rFonts w:ascii="仿宋_GB2312" w:eastAsia="仿宋_GB2312"/>
          <w:sz w:val="32"/>
          <w:szCs w:val="32"/>
        </w:rPr>
      </w:pPr>
      <w:r>
        <w:rPr>
          <w:rFonts w:hint="eastAsia" w:ascii="仿宋_GB2312" w:eastAsia="仿宋_GB2312"/>
          <w:sz w:val="32"/>
          <w:szCs w:val="32"/>
        </w:rPr>
        <w:t>根据预算绩效管理要求，我单位2023年度</w:t>
      </w:r>
      <w:r>
        <w:rPr>
          <w:rFonts w:hint="eastAsia" w:ascii="仿宋_GB2312" w:hAnsi="仿宋_GB2312" w:eastAsia="仿宋_GB2312" w:cs="仿宋_GB2312"/>
          <w:kern w:val="0"/>
          <w:sz w:val="32"/>
          <w:szCs w:val="32"/>
        </w:rPr>
        <w:t>预算绩效管理整体支出绩效自评表</w:t>
      </w:r>
      <w:r>
        <w:rPr>
          <w:rFonts w:hint="eastAsia" w:ascii="仿宋_GB2312" w:eastAsia="仿宋_GB2312"/>
          <w:sz w:val="32"/>
          <w:szCs w:val="32"/>
        </w:rPr>
        <w:t>1</w:t>
      </w:r>
      <w:r>
        <w:rPr>
          <w:rFonts w:hint="eastAsia" w:ascii="仿宋_GB2312" w:hAnsi="仿宋_GB2312" w:eastAsia="仿宋_GB2312" w:cs="仿宋_GB2312"/>
          <w:kern w:val="0"/>
          <w:sz w:val="32"/>
          <w:szCs w:val="32"/>
        </w:rPr>
        <w:t>个，全年</w:t>
      </w:r>
      <w:r>
        <w:rPr>
          <w:rFonts w:hint="eastAsia" w:ascii="仿宋_GB2312" w:eastAsia="仿宋_GB2312"/>
          <w:sz w:val="32"/>
          <w:szCs w:val="32"/>
        </w:rPr>
        <w:t>预算总额</w:t>
      </w:r>
      <w:r>
        <w:rPr>
          <w:rFonts w:ascii="仿宋_GB2312" w:eastAsia="仿宋_GB2312"/>
          <w:sz w:val="32"/>
          <w:szCs w:val="32"/>
        </w:rPr>
        <w:t>2,673.52</w:t>
      </w:r>
      <w:r>
        <w:rPr>
          <w:rFonts w:hint="eastAsia" w:ascii="仿宋_GB2312" w:eastAsia="仿宋_GB2312"/>
          <w:sz w:val="32"/>
          <w:szCs w:val="32"/>
        </w:rPr>
        <w:t>万元，实际执行总额</w:t>
      </w:r>
      <w:r>
        <w:rPr>
          <w:rFonts w:ascii="仿宋_GB2312" w:eastAsia="仿宋_GB2312"/>
          <w:sz w:val="32"/>
          <w:szCs w:val="32"/>
        </w:rPr>
        <w:t>2,673.46</w:t>
      </w:r>
      <w:r>
        <w:rPr>
          <w:rFonts w:hint="eastAsia" w:ascii="仿宋_GB2312" w:eastAsia="仿宋_GB2312"/>
          <w:sz w:val="32"/>
          <w:szCs w:val="32"/>
        </w:rPr>
        <w:t>万元</w:t>
      </w:r>
      <w:r>
        <w:rPr>
          <w:rFonts w:hint="eastAsia" w:ascii="仿宋_GB2312" w:hAnsi="仿宋_GB2312" w:eastAsia="仿宋_GB2312" w:cs="仿宋_GB2312"/>
          <w:kern w:val="0"/>
          <w:sz w:val="32"/>
          <w:szCs w:val="32"/>
        </w:rPr>
        <w:t>；</w:t>
      </w:r>
      <w:r>
        <w:rPr>
          <w:rFonts w:hint="eastAsia" w:ascii="仿宋_GB2312" w:eastAsia="仿宋_GB2312"/>
          <w:sz w:val="32"/>
          <w:szCs w:val="32"/>
        </w:rPr>
        <w:t>预算绩效评价项目1个，全年预算数12.54万元，全年执行数12.54万元。预算绩效管理取得的成效：一是制订专项资金管理制度，各专项资金建立了专账，制订了项目实施方案；二是切实确保专项资金都做到了专款专用。专项资金的使用符合国家法规和财务管理制度，专项资金拨付有完整的审批程序和手续，符合项目预算批复或合同规定的用途，不存在截留、挤占、挪用、虚列支出等情况。发现的问题及原因：一是部门职能不明确，个别工作分工不清晰，且人员培训和绩效考核制度不够完善，考核方案部分内容和人员名单更新滞后；二是预算编制科学性的问题。首先预算编制之合理性相对不足，主要表现在预算调整数较大，年度目标与长期规划衔接的紧密程度需要增强。下一步改进措施：一是构建专业、客观、独立、多样的绩效评价主体。在可能的条件下，引入社会绩效评价组织，专家，高效研究人员等。还应加强对外公开的效率，促使公众参与到部门整体绩效评价执行的过程中，重视社会公众对绩效评价的监督。最后，要加强部门内部绩效评价人员的培训，提高其指标设计和绩效评价的专业技能；二是提高部门整体支出绩效目标设定的合理性。部门整体绩效目标不是碎片化工作的堆叠，而是反映部门开展预算绩效管理工作的规范性和执行力。具体项目自评情况附绩效自评表及自评报告。</w:t>
      </w:r>
    </w:p>
    <w:tbl>
      <w:tblPr>
        <w:tblStyle w:val="9"/>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4"/>
        <w:gridCol w:w="676"/>
        <w:gridCol w:w="1282"/>
        <w:gridCol w:w="1417"/>
        <w:gridCol w:w="1559"/>
        <w:gridCol w:w="995"/>
        <w:gridCol w:w="851"/>
        <w:gridCol w:w="898"/>
      </w:tblGrid>
      <w:tr w14:paraId="6BCE2C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jc w:val="center"/>
        </w:trPr>
        <w:tc>
          <w:tcPr>
            <w:tcW w:w="8522" w:type="dxa"/>
            <w:gridSpan w:val="8"/>
            <w:shd w:val="clear" w:color="auto" w:fill="auto"/>
            <w:noWrap/>
            <w:vAlign w:val="center"/>
          </w:tcPr>
          <w:p w14:paraId="0FC3F657">
            <w:pPr>
              <w:ind w:firstLine="400" w:firstLineChars="200"/>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部门（单位）整体支出绩效目标自评表</w:t>
            </w:r>
          </w:p>
        </w:tc>
      </w:tr>
      <w:tr w14:paraId="0EAE1B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8522" w:type="dxa"/>
            <w:gridSpan w:val="8"/>
            <w:shd w:val="clear" w:color="auto" w:fill="auto"/>
            <w:noWrap/>
            <w:vAlign w:val="center"/>
          </w:tcPr>
          <w:p w14:paraId="5F926809">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（2023年度）</w:t>
            </w:r>
          </w:p>
        </w:tc>
      </w:tr>
      <w:tr w14:paraId="71CD9B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844" w:type="dxa"/>
            <w:shd w:val="clear" w:color="auto" w:fill="auto"/>
            <w:noWrap/>
            <w:vAlign w:val="center"/>
          </w:tcPr>
          <w:p w14:paraId="486C7A75">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部门（单位）名称</w:t>
            </w:r>
          </w:p>
        </w:tc>
        <w:tc>
          <w:tcPr>
            <w:tcW w:w="7678" w:type="dxa"/>
            <w:gridSpan w:val="7"/>
            <w:shd w:val="clear" w:color="auto" w:fill="auto"/>
            <w:noWrap/>
            <w:vAlign w:val="center"/>
          </w:tcPr>
          <w:p w14:paraId="04A2BA31">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木垒县纪律检查委员会</w:t>
            </w:r>
          </w:p>
        </w:tc>
      </w:tr>
      <w:tr w14:paraId="689856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44" w:type="dxa"/>
            <w:vMerge w:val="restart"/>
            <w:shd w:val="clear" w:color="auto" w:fill="auto"/>
            <w:vAlign w:val="center"/>
          </w:tcPr>
          <w:p w14:paraId="77D56170">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部门资金（万元）</w:t>
            </w:r>
          </w:p>
        </w:tc>
        <w:tc>
          <w:tcPr>
            <w:tcW w:w="676" w:type="dxa"/>
            <w:shd w:val="clear" w:color="auto" w:fill="auto"/>
            <w:vAlign w:val="center"/>
          </w:tcPr>
          <w:p w14:paraId="5007F135">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资金来源</w:t>
            </w:r>
          </w:p>
        </w:tc>
        <w:tc>
          <w:tcPr>
            <w:tcW w:w="1282" w:type="dxa"/>
            <w:shd w:val="clear" w:color="auto" w:fill="auto"/>
            <w:vAlign w:val="center"/>
          </w:tcPr>
          <w:p w14:paraId="5BBD7144">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年初预算数</w:t>
            </w:r>
          </w:p>
        </w:tc>
        <w:tc>
          <w:tcPr>
            <w:tcW w:w="1417" w:type="dxa"/>
            <w:shd w:val="clear" w:color="auto" w:fill="auto"/>
            <w:vAlign w:val="center"/>
          </w:tcPr>
          <w:p w14:paraId="0DAF36F1">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全年预算数</w:t>
            </w:r>
          </w:p>
        </w:tc>
        <w:tc>
          <w:tcPr>
            <w:tcW w:w="1559" w:type="dxa"/>
            <w:shd w:val="clear" w:color="auto" w:fill="auto"/>
            <w:vAlign w:val="center"/>
          </w:tcPr>
          <w:p w14:paraId="15DB6AFC">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全年执行数</w:t>
            </w:r>
          </w:p>
        </w:tc>
        <w:tc>
          <w:tcPr>
            <w:tcW w:w="995" w:type="dxa"/>
            <w:shd w:val="clear" w:color="auto" w:fill="auto"/>
            <w:vAlign w:val="center"/>
          </w:tcPr>
          <w:p w14:paraId="1DA3F833">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分值权重</w:t>
            </w:r>
          </w:p>
        </w:tc>
        <w:tc>
          <w:tcPr>
            <w:tcW w:w="851" w:type="dxa"/>
            <w:shd w:val="clear" w:color="auto" w:fill="auto"/>
            <w:vAlign w:val="center"/>
          </w:tcPr>
          <w:p w14:paraId="36758E46">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执行率</w:t>
            </w:r>
          </w:p>
        </w:tc>
        <w:tc>
          <w:tcPr>
            <w:tcW w:w="898" w:type="dxa"/>
            <w:shd w:val="clear" w:color="auto" w:fill="auto"/>
            <w:vAlign w:val="center"/>
          </w:tcPr>
          <w:p w14:paraId="56DFF3C9">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得分</w:t>
            </w:r>
          </w:p>
        </w:tc>
      </w:tr>
      <w:tr w14:paraId="131F5A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2" w:hRule="atLeast"/>
          <w:jc w:val="center"/>
        </w:trPr>
        <w:tc>
          <w:tcPr>
            <w:tcW w:w="844" w:type="dxa"/>
            <w:vMerge w:val="continue"/>
            <w:vAlign w:val="center"/>
          </w:tcPr>
          <w:p w14:paraId="373AC58A">
            <w:pPr>
              <w:widowControl/>
              <w:jc w:val="left"/>
              <w:rPr>
                <w:rFonts w:hint="eastAsia" w:cs="宋体" w:asciiTheme="minorEastAsia" w:hAnsiTheme="minorEastAsia" w:eastAsiaTheme="minorEastAsia"/>
                <w:bCs/>
                <w:kern w:val="0"/>
                <w:sz w:val="20"/>
                <w:szCs w:val="20"/>
              </w:rPr>
            </w:pPr>
          </w:p>
        </w:tc>
        <w:tc>
          <w:tcPr>
            <w:tcW w:w="676" w:type="dxa"/>
            <w:shd w:val="clear" w:color="auto" w:fill="auto"/>
            <w:noWrap/>
            <w:vAlign w:val="center"/>
          </w:tcPr>
          <w:p w14:paraId="64B90796">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中央安排</w:t>
            </w:r>
          </w:p>
        </w:tc>
        <w:tc>
          <w:tcPr>
            <w:tcW w:w="1282" w:type="dxa"/>
            <w:shd w:val="clear" w:color="auto" w:fill="auto"/>
            <w:vAlign w:val="center"/>
          </w:tcPr>
          <w:p w14:paraId="2964F822">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0</w:t>
            </w:r>
            <w:r>
              <w:rPr>
                <w:rFonts w:cs="宋体" w:asciiTheme="minorEastAsia" w:hAnsiTheme="minorEastAsia" w:eastAsiaTheme="minorEastAsia"/>
                <w:bCs/>
                <w:kern w:val="0"/>
                <w:sz w:val="20"/>
                <w:szCs w:val="20"/>
              </w:rPr>
              <w:t>.00</w:t>
            </w:r>
          </w:p>
        </w:tc>
        <w:tc>
          <w:tcPr>
            <w:tcW w:w="1417" w:type="dxa"/>
            <w:shd w:val="clear" w:color="auto" w:fill="auto"/>
            <w:vAlign w:val="center"/>
          </w:tcPr>
          <w:p w14:paraId="219006BF">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0</w:t>
            </w:r>
            <w:r>
              <w:rPr>
                <w:rFonts w:cs="宋体" w:asciiTheme="minorEastAsia" w:hAnsiTheme="minorEastAsia" w:eastAsiaTheme="minorEastAsia"/>
                <w:bCs/>
                <w:kern w:val="0"/>
                <w:sz w:val="20"/>
                <w:szCs w:val="20"/>
              </w:rPr>
              <w:t>.00</w:t>
            </w:r>
          </w:p>
        </w:tc>
        <w:tc>
          <w:tcPr>
            <w:tcW w:w="1559" w:type="dxa"/>
            <w:shd w:val="clear" w:color="auto" w:fill="auto"/>
            <w:vAlign w:val="center"/>
          </w:tcPr>
          <w:p w14:paraId="2D5F916C">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0</w:t>
            </w:r>
            <w:r>
              <w:rPr>
                <w:rFonts w:cs="宋体" w:asciiTheme="minorEastAsia" w:hAnsiTheme="minorEastAsia" w:eastAsiaTheme="minorEastAsia"/>
                <w:bCs/>
                <w:kern w:val="0"/>
                <w:sz w:val="20"/>
                <w:szCs w:val="20"/>
              </w:rPr>
              <w:t>.00</w:t>
            </w:r>
          </w:p>
        </w:tc>
        <w:tc>
          <w:tcPr>
            <w:tcW w:w="995" w:type="dxa"/>
            <w:shd w:val="clear" w:color="auto" w:fill="auto"/>
            <w:vAlign w:val="center"/>
          </w:tcPr>
          <w:p w14:paraId="465AB360">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10</w:t>
            </w:r>
          </w:p>
        </w:tc>
        <w:tc>
          <w:tcPr>
            <w:tcW w:w="851" w:type="dxa"/>
            <w:shd w:val="clear" w:color="auto" w:fill="auto"/>
            <w:vAlign w:val="center"/>
          </w:tcPr>
          <w:p w14:paraId="20A04D3B">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100%</w:t>
            </w:r>
          </w:p>
        </w:tc>
        <w:tc>
          <w:tcPr>
            <w:tcW w:w="898" w:type="dxa"/>
            <w:shd w:val="clear" w:color="auto" w:fill="auto"/>
            <w:vAlign w:val="center"/>
          </w:tcPr>
          <w:p w14:paraId="40BFA4BA">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10</w:t>
            </w:r>
          </w:p>
        </w:tc>
      </w:tr>
      <w:tr w14:paraId="1B7B1F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2" w:hRule="atLeast"/>
          <w:jc w:val="center"/>
        </w:trPr>
        <w:tc>
          <w:tcPr>
            <w:tcW w:w="844" w:type="dxa"/>
            <w:vMerge w:val="continue"/>
            <w:vAlign w:val="center"/>
          </w:tcPr>
          <w:p w14:paraId="34E64FED">
            <w:pPr>
              <w:widowControl/>
              <w:jc w:val="left"/>
              <w:rPr>
                <w:rFonts w:hint="eastAsia" w:cs="宋体" w:asciiTheme="minorEastAsia" w:hAnsiTheme="minorEastAsia" w:eastAsiaTheme="minorEastAsia"/>
                <w:bCs/>
                <w:kern w:val="0"/>
                <w:sz w:val="20"/>
                <w:szCs w:val="20"/>
              </w:rPr>
            </w:pPr>
          </w:p>
        </w:tc>
        <w:tc>
          <w:tcPr>
            <w:tcW w:w="676" w:type="dxa"/>
            <w:shd w:val="clear" w:color="auto" w:fill="auto"/>
            <w:vAlign w:val="center"/>
          </w:tcPr>
          <w:p w14:paraId="02950FF7">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自治区安排</w:t>
            </w:r>
          </w:p>
        </w:tc>
        <w:tc>
          <w:tcPr>
            <w:tcW w:w="1282" w:type="dxa"/>
            <w:shd w:val="clear" w:color="auto" w:fill="auto"/>
            <w:vAlign w:val="center"/>
          </w:tcPr>
          <w:p w14:paraId="2B923A8B">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0</w:t>
            </w:r>
            <w:r>
              <w:rPr>
                <w:rFonts w:cs="宋体" w:asciiTheme="minorEastAsia" w:hAnsiTheme="minorEastAsia" w:eastAsiaTheme="minorEastAsia"/>
                <w:bCs/>
                <w:kern w:val="0"/>
                <w:sz w:val="20"/>
                <w:szCs w:val="20"/>
              </w:rPr>
              <w:t>.00</w:t>
            </w:r>
          </w:p>
        </w:tc>
        <w:tc>
          <w:tcPr>
            <w:tcW w:w="1417" w:type="dxa"/>
            <w:shd w:val="clear" w:color="auto" w:fill="auto"/>
            <w:vAlign w:val="center"/>
          </w:tcPr>
          <w:p w14:paraId="23DCA8BD">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0</w:t>
            </w:r>
            <w:r>
              <w:rPr>
                <w:rFonts w:cs="宋体" w:asciiTheme="minorEastAsia" w:hAnsiTheme="minorEastAsia" w:eastAsiaTheme="minorEastAsia"/>
                <w:bCs/>
                <w:kern w:val="0"/>
                <w:sz w:val="20"/>
                <w:szCs w:val="20"/>
              </w:rPr>
              <w:t>.00</w:t>
            </w:r>
          </w:p>
        </w:tc>
        <w:tc>
          <w:tcPr>
            <w:tcW w:w="1559" w:type="dxa"/>
            <w:shd w:val="clear" w:color="auto" w:fill="auto"/>
            <w:vAlign w:val="center"/>
          </w:tcPr>
          <w:p w14:paraId="634214A7">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0</w:t>
            </w:r>
            <w:r>
              <w:rPr>
                <w:rFonts w:cs="宋体" w:asciiTheme="minorEastAsia" w:hAnsiTheme="minorEastAsia" w:eastAsiaTheme="minorEastAsia"/>
                <w:bCs/>
                <w:kern w:val="0"/>
                <w:sz w:val="20"/>
                <w:szCs w:val="20"/>
              </w:rPr>
              <w:t>.00</w:t>
            </w:r>
          </w:p>
        </w:tc>
        <w:tc>
          <w:tcPr>
            <w:tcW w:w="995" w:type="dxa"/>
            <w:shd w:val="clear" w:color="auto" w:fill="auto"/>
            <w:vAlign w:val="center"/>
          </w:tcPr>
          <w:p w14:paraId="791F3B22">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851" w:type="dxa"/>
            <w:shd w:val="clear" w:color="auto" w:fill="auto"/>
            <w:vAlign w:val="center"/>
          </w:tcPr>
          <w:p w14:paraId="3E2C79D8">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898" w:type="dxa"/>
            <w:shd w:val="clear" w:color="auto" w:fill="auto"/>
            <w:vAlign w:val="center"/>
          </w:tcPr>
          <w:p w14:paraId="4B4B1BED">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r>
      <w:tr w14:paraId="73DA4A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2" w:hRule="atLeast"/>
          <w:jc w:val="center"/>
        </w:trPr>
        <w:tc>
          <w:tcPr>
            <w:tcW w:w="844" w:type="dxa"/>
            <w:vMerge w:val="continue"/>
            <w:vAlign w:val="center"/>
          </w:tcPr>
          <w:p w14:paraId="5D6F7C44">
            <w:pPr>
              <w:widowControl/>
              <w:jc w:val="left"/>
              <w:rPr>
                <w:rFonts w:hint="eastAsia" w:cs="宋体" w:asciiTheme="minorEastAsia" w:hAnsiTheme="minorEastAsia" w:eastAsiaTheme="minorEastAsia"/>
                <w:bCs/>
                <w:kern w:val="0"/>
                <w:sz w:val="20"/>
                <w:szCs w:val="20"/>
              </w:rPr>
            </w:pPr>
          </w:p>
        </w:tc>
        <w:tc>
          <w:tcPr>
            <w:tcW w:w="676" w:type="dxa"/>
            <w:shd w:val="clear" w:color="auto" w:fill="auto"/>
            <w:vAlign w:val="center"/>
          </w:tcPr>
          <w:p w14:paraId="18FF271B">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地（州、市）安排</w:t>
            </w:r>
          </w:p>
        </w:tc>
        <w:tc>
          <w:tcPr>
            <w:tcW w:w="1282" w:type="dxa"/>
            <w:shd w:val="clear" w:color="auto" w:fill="auto"/>
            <w:vAlign w:val="center"/>
          </w:tcPr>
          <w:p w14:paraId="0F8BE797">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0</w:t>
            </w:r>
            <w:r>
              <w:rPr>
                <w:rFonts w:cs="宋体" w:asciiTheme="minorEastAsia" w:hAnsiTheme="minorEastAsia" w:eastAsiaTheme="minorEastAsia"/>
                <w:bCs/>
                <w:kern w:val="0"/>
                <w:sz w:val="20"/>
                <w:szCs w:val="20"/>
              </w:rPr>
              <w:t>.00</w:t>
            </w:r>
          </w:p>
        </w:tc>
        <w:tc>
          <w:tcPr>
            <w:tcW w:w="1417" w:type="dxa"/>
            <w:shd w:val="clear" w:color="auto" w:fill="auto"/>
            <w:vAlign w:val="center"/>
          </w:tcPr>
          <w:p w14:paraId="054048DA">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0</w:t>
            </w:r>
            <w:r>
              <w:rPr>
                <w:rFonts w:cs="宋体" w:asciiTheme="minorEastAsia" w:hAnsiTheme="minorEastAsia" w:eastAsiaTheme="minorEastAsia"/>
                <w:bCs/>
                <w:kern w:val="0"/>
                <w:sz w:val="20"/>
                <w:szCs w:val="20"/>
              </w:rPr>
              <w:t>.00</w:t>
            </w:r>
          </w:p>
        </w:tc>
        <w:tc>
          <w:tcPr>
            <w:tcW w:w="1559" w:type="dxa"/>
            <w:shd w:val="clear" w:color="auto" w:fill="auto"/>
            <w:vAlign w:val="center"/>
          </w:tcPr>
          <w:p w14:paraId="0E378121">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0</w:t>
            </w:r>
            <w:r>
              <w:rPr>
                <w:rFonts w:cs="宋体" w:asciiTheme="minorEastAsia" w:hAnsiTheme="minorEastAsia" w:eastAsiaTheme="minorEastAsia"/>
                <w:bCs/>
                <w:kern w:val="0"/>
                <w:sz w:val="20"/>
                <w:szCs w:val="20"/>
              </w:rPr>
              <w:t>.00</w:t>
            </w:r>
          </w:p>
        </w:tc>
        <w:tc>
          <w:tcPr>
            <w:tcW w:w="995" w:type="dxa"/>
            <w:shd w:val="clear" w:color="auto" w:fill="auto"/>
            <w:vAlign w:val="center"/>
          </w:tcPr>
          <w:p w14:paraId="02618FBB">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851" w:type="dxa"/>
            <w:shd w:val="clear" w:color="auto" w:fill="auto"/>
            <w:vAlign w:val="center"/>
          </w:tcPr>
          <w:p w14:paraId="73D3AA02">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898" w:type="dxa"/>
            <w:shd w:val="clear" w:color="auto" w:fill="auto"/>
            <w:vAlign w:val="center"/>
          </w:tcPr>
          <w:p w14:paraId="1A2E0DF6">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r>
      <w:tr w14:paraId="66203B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2" w:hRule="atLeast"/>
          <w:jc w:val="center"/>
        </w:trPr>
        <w:tc>
          <w:tcPr>
            <w:tcW w:w="844" w:type="dxa"/>
            <w:vMerge w:val="continue"/>
            <w:vAlign w:val="center"/>
          </w:tcPr>
          <w:p w14:paraId="1877F355">
            <w:pPr>
              <w:widowControl/>
              <w:jc w:val="left"/>
              <w:rPr>
                <w:rFonts w:hint="eastAsia" w:cs="宋体" w:asciiTheme="minorEastAsia" w:hAnsiTheme="minorEastAsia" w:eastAsiaTheme="minorEastAsia"/>
                <w:bCs/>
                <w:kern w:val="0"/>
                <w:sz w:val="20"/>
                <w:szCs w:val="20"/>
              </w:rPr>
            </w:pPr>
          </w:p>
        </w:tc>
        <w:tc>
          <w:tcPr>
            <w:tcW w:w="676" w:type="dxa"/>
            <w:shd w:val="clear" w:color="auto" w:fill="auto"/>
            <w:vAlign w:val="center"/>
          </w:tcPr>
          <w:p w14:paraId="4CBEC9F0">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县（市、区）安排</w:t>
            </w:r>
          </w:p>
        </w:tc>
        <w:tc>
          <w:tcPr>
            <w:tcW w:w="1282" w:type="dxa"/>
            <w:shd w:val="clear" w:color="auto" w:fill="auto"/>
            <w:vAlign w:val="center"/>
          </w:tcPr>
          <w:p w14:paraId="4E55CFA8">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2</w:t>
            </w:r>
            <w:r>
              <w:rPr>
                <w:rFonts w:cs="宋体" w:asciiTheme="minorEastAsia" w:hAnsiTheme="minorEastAsia" w:eastAsiaTheme="minorEastAsia"/>
                <w:bCs/>
                <w:kern w:val="0"/>
                <w:sz w:val="20"/>
                <w:szCs w:val="20"/>
              </w:rPr>
              <w:t>,</w:t>
            </w:r>
            <w:r>
              <w:rPr>
                <w:rFonts w:hint="eastAsia" w:cs="宋体" w:asciiTheme="minorEastAsia" w:hAnsiTheme="minorEastAsia" w:eastAsiaTheme="minorEastAsia"/>
                <w:bCs/>
                <w:kern w:val="0"/>
                <w:sz w:val="20"/>
                <w:szCs w:val="20"/>
              </w:rPr>
              <w:t>766.1</w:t>
            </w:r>
            <w:r>
              <w:rPr>
                <w:rFonts w:cs="宋体" w:asciiTheme="minorEastAsia" w:hAnsiTheme="minorEastAsia" w:eastAsiaTheme="minorEastAsia"/>
                <w:bCs/>
                <w:kern w:val="0"/>
                <w:sz w:val="20"/>
                <w:szCs w:val="20"/>
              </w:rPr>
              <w:t>0</w:t>
            </w:r>
          </w:p>
        </w:tc>
        <w:tc>
          <w:tcPr>
            <w:tcW w:w="1417" w:type="dxa"/>
            <w:shd w:val="clear" w:color="auto" w:fill="auto"/>
            <w:vAlign w:val="center"/>
          </w:tcPr>
          <w:p w14:paraId="4D0C4735">
            <w:pPr>
              <w:widowControl/>
              <w:jc w:val="center"/>
              <w:rPr>
                <w:rFonts w:hint="eastAsia" w:cs="宋体" w:asciiTheme="minorEastAsia" w:hAnsiTheme="minorEastAsia" w:eastAsiaTheme="minorEastAsia"/>
                <w:bCs/>
                <w:kern w:val="0"/>
                <w:sz w:val="20"/>
                <w:szCs w:val="20"/>
              </w:rPr>
            </w:pPr>
            <w:r>
              <w:rPr>
                <w:rFonts w:cs="宋体" w:asciiTheme="minorEastAsia" w:hAnsiTheme="minorEastAsia" w:eastAsiaTheme="minorEastAsia"/>
                <w:bCs/>
                <w:kern w:val="0"/>
                <w:sz w:val="20"/>
                <w:szCs w:val="20"/>
              </w:rPr>
              <w:t>2,673.52</w:t>
            </w:r>
          </w:p>
        </w:tc>
        <w:tc>
          <w:tcPr>
            <w:tcW w:w="1559" w:type="dxa"/>
            <w:shd w:val="clear" w:color="auto" w:fill="auto"/>
            <w:vAlign w:val="center"/>
          </w:tcPr>
          <w:p w14:paraId="6B149AA9">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2</w:t>
            </w:r>
            <w:r>
              <w:rPr>
                <w:rFonts w:cs="宋体" w:asciiTheme="minorEastAsia" w:hAnsiTheme="minorEastAsia" w:eastAsiaTheme="minorEastAsia"/>
                <w:bCs/>
                <w:kern w:val="0"/>
                <w:sz w:val="20"/>
                <w:szCs w:val="20"/>
              </w:rPr>
              <w:t>,</w:t>
            </w:r>
            <w:r>
              <w:rPr>
                <w:rFonts w:hint="eastAsia" w:cs="宋体" w:asciiTheme="minorEastAsia" w:hAnsiTheme="minorEastAsia" w:eastAsiaTheme="minorEastAsia"/>
                <w:bCs/>
                <w:kern w:val="0"/>
                <w:sz w:val="20"/>
                <w:szCs w:val="20"/>
              </w:rPr>
              <w:t>673.46</w:t>
            </w:r>
          </w:p>
        </w:tc>
        <w:tc>
          <w:tcPr>
            <w:tcW w:w="995" w:type="dxa"/>
            <w:shd w:val="clear" w:color="auto" w:fill="auto"/>
            <w:vAlign w:val="center"/>
          </w:tcPr>
          <w:p w14:paraId="107E4081">
            <w:pPr>
              <w:widowControl/>
              <w:jc w:val="center"/>
              <w:rPr>
                <w:rFonts w:hint="eastAsia" w:cs="宋体" w:asciiTheme="minorEastAsia" w:hAnsiTheme="minorEastAsia" w:eastAsiaTheme="minorEastAsia"/>
                <w:kern w:val="0"/>
                <w:sz w:val="20"/>
                <w:szCs w:val="20"/>
              </w:rPr>
            </w:pPr>
            <w:r>
              <w:rPr>
                <w:rFonts w:hint="eastAsia"/>
              </w:rPr>
              <w:t>-</w:t>
            </w:r>
          </w:p>
        </w:tc>
        <w:tc>
          <w:tcPr>
            <w:tcW w:w="851" w:type="dxa"/>
            <w:shd w:val="clear" w:color="auto" w:fill="auto"/>
            <w:vAlign w:val="center"/>
          </w:tcPr>
          <w:p w14:paraId="567D591F">
            <w:pPr>
              <w:widowControl/>
              <w:jc w:val="center"/>
              <w:rPr>
                <w:rFonts w:hint="eastAsia" w:cs="宋体" w:asciiTheme="minorEastAsia" w:hAnsiTheme="minorEastAsia" w:eastAsiaTheme="minorEastAsia"/>
                <w:kern w:val="0"/>
                <w:sz w:val="20"/>
                <w:szCs w:val="20"/>
              </w:rPr>
            </w:pPr>
            <w:r>
              <w:rPr>
                <w:rFonts w:hint="eastAsia"/>
              </w:rPr>
              <w:t>-</w:t>
            </w:r>
          </w:p>
        </w:tc>
        <w:tc>
          <w:tcPr>
            <w:tcW w:w="898" w:type="dxa"/>
            <w:shd w:val="clear" w:color="auto" w:fill="auto"/>
            <w:vAlign w:val="center"/>
          </w:tcPr>
          <w:p w14:paraId="21D0E64F">
            <w:pPr>
              <w:widowControl/>
              <w:jc w:val="center"/>
              <w:rPr>
                <w:rFonts w:hint="eastAsia" w:cs="宋体" w:asciiTheme="minorEastAsia" w:hAnsiTheme="minorEastAsia" w:eastAsiaTheme="minorEastAsia"/>
                <w:kern w:val="0"/>
                <w:sz w:val="20"/>
                <w:szCs w:val="20"/>
              </w:rPr>
            </w:pPr>
            <w:r>
              <w:rPr>
                <w:rFonts w:hint="eastAsia"/>
              </w:rPr>
              <w:t>-</w:t>
            </w:r>
          </w:p>
        </w:tc>
      </w:tr>
      <w:tr w14:paraId="2AE134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2" w:hRule="atLeast"/>
          <w:jc w:val="center"/>
        </w:trPr>
        <w:tc>
          <w:tcPr>
            <w:tcW w:w="844" w:type="dxa"/>
            <w:vMerge w:val="continue"/>
            <w:vAlign w:val="center"/>
          </w:tcPr>
          <w:p w14:paraId="7D9ECAB7">
            <w:pPr>
              <w:widowControl/>
              <w:jc w:val="left"/>
              <w:rPr>
                <w:rFonts w:hint="eastAsia" w:cs="宋体" w:asciiTheme="minorEastAsia" w:hAnsiTheme="minorEastAsia" w:eastAsiaTheme="minorEastAsia"/>
                <w:bCs/>
                <w:kern w:val="0"/>
                <w:sz w:val="20"/>
                <w:szCs w:val="20"/>
              </w:rPr>
            </w:pPr>
          </w:p>
        </w:tc>
        <w:tc>
          <w:tcPr>
            <w:tcW w:w="676" w:type="dxa"/>
            <w:shd w:val="clear" w:color="auto" w:fill="auto"/>
            <w:vAlign w:val="center"/>
          </w:tcPr>
          <w:p w14:paraId="4FD3D161">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其他资金</w:t>
            </w:r>
          </w:p>
        </w:tc>
        <w:tc>
          <w:tcPr>
            <w:tcW w:w="1282" w:type="dxa"/>
            <w:shd w:val="clear" w:color="auto" w:fill="auto"/>
            <w:vAlign w:val="center"/>
          </w:tcPr>
          <w:p w14:paraId="0C145CAB">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0</w:t>
            </w:r>
            <w:r>
              <w:rPr>
                <w:rFonts w:cs="宋体" w:asciiTheme="minorEastAsia" w:hAnsiTheme="minorEastAsia" w:eastAsiaTheme="minorEastAsia"/>
                <w:bCs/>
                <w:kern w:val="0"/>
                <w:sz w:val="20"/>
                <w:szCs w:val="20"/>
              </w:rPr>
              <w:t>.00</w:t>
            </w:r>
          </w:p>
        </w:tc>
        <w:tc>
          <w:tcPr>
            <w:tcW w:w="1417" w:type="dxa"/>
            <w:shd w:val="clear" w:color="auto" w:fill="auto"/>
            <w:vAlign w:val="center"/>
          </w:tcPr>
          <w:p w14:paraId="0433CB37">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0</w:t>
            </w:r>
            <w:r>
              <w:rPr>
                <w:rFonts w:cs="宋体" w:asciiTheme="minorEastAsia" w:hAnsiTheme="minorEastAsia" w:eastAsiaTheme="minorEastAsia"/>
                <w:bCs/>
                <w:kern w:val="0"/>
                <w:sz w:val="20"/>
                <w:szCs w:val="20"/>
              </w:rPr>
              <w:t>.00</w:t>
            </w:r>
          </w:p>
        </w:tc>
        <w:tc>
          <w:tcPr>
            <w:tcW w:w="1559" w:type="dxa"/>
            <w:shd w:val="clear" w:color="auto" w:fill="auto"/>
            <w:vAlign w:val="center"/>
          </w:tcPr>
          <w:p w14:paraId="5207AE35">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0</w:t>
            </w:r>
            <w:r>
              <w:rPr>
                <w:rFonts w:cs="宋体" w:asciiTheme="minorEastAsia" w:hAnsiTheme="minorEastAsia" w:eastAsiaTheme="minorEastAsia"/>
                <w:bCs/>
                <w:kern w:val="0"/>
                <w:sz w:val="20"/>
                <w:szCs w:val="20"/>
              </w:rPr>
              <w:t>.00</w:t>
            </w:r>
          </w:p>
        </w:tc>
        <w:tc>
          <w:tcPr>
            <w:tcW w:w="995" w:type="dxa"/>
            <w:shd w:val="clear" w:color="auto" w:fill="auto"/>
            <w:vAlign w:val="center"/>
          </w:tcPr>
          <w:p w14:paraId="0BB30E0F">
            <w:pPr>
              <w:widowControl/>
              <w:jc w:val="center"/>
              <w:rPr>
                <w:rFonts w:hint="eastAsia" w:cs="宋体" w:asciiTheme="minorEastAsia" w:hAnsiTheme="minorEastAsia" w:eastAsiaTheme="minorEastAsia"/>
                <w:kern w:val="0"/>
                <w:sz w:val="20"/>
                <w:szCs w:val="20"/>
              </w:rPr>
            </w:pPr>
            <w:r>
              <w:rPr>
                <w:rFonts w:hint="eastAsia"/>
              </w:rPr>
              <w:t>-</w:t>
            </w:r>
          </w:p>
        </w:tc>
        <w:tc>
          <w:tcPr>
            <w:tcW w:w="851" w:type="dxa"/>
            <w:shd w:val="clear" w:color="auto" w:fill="auto"/>
            <w:vAlign w:val="center"/>
          </w:tcPr>
          <w:p w14:paraId="6F2F1104">
            <w:pPr>
              <w:widowControl/>
              <w:jc w:val="center"/>
              <w:rPr>
                <w:rFonts w:hint="eastAsia" w:cs="宋体" w:asciiTheme="minorEastAsia" w:hAnsiTheme="minorEastAsia" w:eastAsiaTheme="minorEastAsia"/>
                <w:kern w:val="0"/>
                <w:sz w:val="20"/>
                <w:szCs w:val="20"/>
              </w:rPr>
            </w:pPr>
            <w:r>
              <w:rPr>
                <w:rFonts w:hint="eastAsia"/>
              </w:rPr>
              <w:t>-</w:t>
            </w:r>
          </w:p>
        </w:tc>
        <w:tc>
          <w:tcPr>
            <w:tcW w:w="898" w:type="dxa"/>
            <w:shd w:val="clear" w:color="auto" w:fill="auto"/>
            <w:vAlign w:val="center"/>
          </w:tcPr>
          <w:p w14:paraId="7BACAFCD">
            <w:pPr>
              <w:widowControl/>
              <w:jc w:val="center"/>
              <w:rPr>
                <w:rFonts w:hint="eastAsia" w:cs="宋体" w:asciiTheme="minorEastAsia" w:hAnsiTheme="minorEastAsia" w:eastAsiaTheme="minorEastAsia"/>
                <w:kern w:val="0"/>
                <w:sz w:val="20"/>
                <w:szCs w:val="20"/>
              </w:rPr>
            </w:pPr>
            <w:r>
              <w:rPr>
                <w:rFonts w:hint="eastAsia"/>
              </w:rPr>
              <w:t>-</w:t>
            </w:r>
          </w:p>
        </w:tc>
      </w:tr>
      <w:tr w14:paraId="4EB9B1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2" w:hRule="atLeast"/>
          <w:jc w:val="center"/>
        </w:trPr>
        <w:tc>
          <w:tcPr>
            <w:tcW w:w="844" w:type="dxa"/>
            <w:vMerge w:val="continue"/>
            <w:vAlign w:val="center"/>
          </w:tcPr>
          <w:p w14:paraId="1CA025F2">
            <w:pPr>
              <w:widowControl/>
              <w:jc w:val="left"/>
              <w:rPr>
                <w:rFonts w:hint="eastAsia" w:cs="宋体" w:asciiTheme="minorEastAsia" w:hAnsiTheme="minorEastAsia" w:eastAsiaTheme="minorEastAsia"/>
                <w:bCs/>
                <w:kern w:val="0"/>
                <w:sz w:val="20"/>
                <w:szCs w:val="20"/>
              </w:rPr>
            </w:pPr>
          </w:p>
        </w:tc>
        <w:tc>
          <w:tcPr>
            <w:tcW w:w="676" w:type="dxa"/>
            <w:shd w:val="clear" w:color="auto" w:fill="auto"/>
            <w:vAlign w:val="center"/>
          </w:tcPr>
          <w:p w14:paraId="46DC82B1">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合计</w:t>
            </w:r>
          </w:p>
        </w:tc>
        <w:tc>
          <w:tcPr>
            <w:tcW w:w="1282" w:type="dxa"/>
            <w:shd w:val="clear" w:color="auto" w:fill="auto"/>
            <w:vAlign w:val="center"/>
          </w:tcPr>
          <w:p w14:paraId="148E889C">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2</w:t>
            </w:r>
            <w:r>
              <w:rPr>
                <w:rFonts w:cs="宋体" w:asciiTheme="minorEastAsia" w:hAnsiTheme="minorEastAsia" w:eastAsiaTheme="minorEastAsia"/>
                <w:bCs/>
                <w:kern w:val="0"/>
                <w:sz w:val="20"/>
                <w:szCs w:val="20"/>
              </w:rPr>
              <w:t>,</w:t>
            </w:r>
            <w:r>
              <w:rPr>
                <w:rFonts w:hint="eastAsia" w:cs="宋体" w:asciiTheme="minorEastAsia" w:hAnsiTheme="minorEastAsia" w:eastAsiaTheme="minorEastAsia"/>
                <w:bCs/>
                <w:kern w:val="0"/>
                <w:sz w:val="20"/>
                <w:szCs w:val="20"/>
              </w:rPr>
              <w:t>766.1</w:t>
            </w:r>
            <w:r>
              <w:rPr>
                <w:rFonts w:cs="宋体" w:asciiTheme="minorEastAsia" w:hAnsiTheme="minorEastAsia" w:eastAsiaTheme="minorEastAsia"/>
                <w:bCs/>
                <w:kern w:val="0"/>
                <w:sz w:val="20"/>
                <w:szCs w:val="20"/>
              </w:rPr>
              <w:t>0</w:t>
            </w:r>
          </w:p>
        </w:tc>
        <w:tc>
          <w:tcPr>
            <w:tcW w:w="1417" w:type="dxa"/>
            <w:shd w:val="clear" w:color="auto" w:fill="auto"/>
            <w:vAlign w:val="center"/>
          </w:tcPr>
          <w:p w14:paraId="3B1B8703">
            <w:pPr>
              <w:widowControl/>
              <w:jc w:val="center"/>
              <w:rPr>
                <w:rFonts w:hint="eastAsia" w:cs="宋体" w:asciiTheme="minorEastAsia" w:hAnsiTheme="minorEastAsia" w:eastAsiaTheme="minorEastAsia"/>
                <w:bCs/>
                <w:kern w:val="0"/>
                <w:sz w:val="20"/>
                <w:szCs w:val="20"/>
              </w:rPr>
            </w:pPr>
            <w:r>
              <w:rPr>
                <w:rFonts w:cs="宋体" w:asciiTheme="minorEastAsia" w:hAnsiTheme="minorEastAsia" w:eastAsiaTheme="minorEastAsia"/>
                <w:bCs/>
                <w:kern w:val="0"/>
                <w:sz w:val="20"/>
                <w:szCs w:val="20"/>
              </w:rPr>
              <w:t>2,673.52</w:t>
            </w:r>
          </w:p>
        </w:tc>
        <w:tc>
          <w:tcPr>
            <w:tcW w:w="1559" w:type="dxa"/>
            <w:shd w:val="clear" w:color="auto" w:fill="auto"/>
            <w:vAlign w:val="center"/>
          </w:tcPr>
          <w:p w14:paraId="2A175CBA">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2</w:t>
            </w:r>
            <w:r>
              <w:rPr>
                <w:rFonts w:cs="宋体" w:asciiTheme="minorEastAsia" w:hAnsiTheme="minorEastAsia" w:eastAsiaTheme="minorEastAsia"/>
                <w:bCs/>
                <w:kern w:val="0"/>
                <w:sz w:val="20"/>
                <w:szCs w:val="20"/>
              </w:rPr>
              <w:t>,</w:t>
            </w:r>
            <w:r>
              <w:rPr>
                <w:rFonts w:hint="eastAsia" w:cs="宋体" w:asciiTheme="minorEastAsia" w:hAnsiTheme="minorEastAsia" w:eastAsiaTheme="minorEastAsia"/>
                <w:bCs/>
                <w:kern w:val="0"/>
                <w:sz w:val="20"/>
                <w:szCs w:val="20"/>
              </w:rPr>
              <w:t>673.46</w:t>
            </w:r>
          </w:p>
        </w:tc>
        <w:tc>
          <w:tcPr>
            <w:tcW w:w="995" w:type="dxa"/>
            <w:shd w:val="clear" w:color="auto" w:fill="auto"/>
            <w:vAlign w:val="center"/>
          </w:tcPr>
          <w:p w14:paraId="5D4D0EDB">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851" w:type="dxa"/>
            <w:shd w:val="clear" w:color="auto" w:fill="auto"/>
            <w:vAlign w:val="center"/>
          </w:tcPr>
          <w:p w14:paraId="703FC5BE">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898" w:type="dxa"/>
            <w:shd w:val="clear" w:color="auto" w:fill="auto"/>
            <w:vAlign w:val="center"/>
          </w:tcPr>
          <w:p w14:paraId="5991F039">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r>
      <w:tr w14:paraId="13E154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5" w:hRule="atLeast"/>
          <w:jc w:val="center"/>
        </w:trPr>
        <w:tc>
          <w:tcPr>
            <w:tcW w:w="844" w:type="dxa"/>
            <w:vMerge w:val="restart"/>
            <w:shd w:val="clear" w:color="auto" w:fill="auto"/>
            <w:vAlign w:val="center"/>
          </w:tcPr>
          <w:p w14:paraId="44DFDE5A">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年度总体目标</w:t>
            </w:r>
          </w:p>
        </w:tc>
        <w:tc>
          <w:tcPr>
            <w:tcW w:w="3375" w:type="dxa"/>
            <w:gridSpan w:val="3"/>
            <w:shd w:val="clear" w:color="auto" w:fill="auto"/>
            <w:noWrap/>
            <w:vAlign w:val="center"/>
          </w:tcPr>
          <w:p w14:paraId="5B62085F">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预期目标</w:t>
            </w:r>
          </w:p>
        </w:tc>
        <w:tc>
          <w:tcPr>
            <w:tcW w:w="4303" w:type="dxa"/>
            <w:gridSpan w:val="4"/>
            <w:shd w:val="clear" w:color="auto" w:fill="auto"/>
            <w:noWrap/>
            <w:vAlign w:val="center"/>
          </w:tcPr>
          <w:p w14:paraId="5AE81102">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实际完成情况</w:t>
            </w:r>
          </w:p>
        </w:tc>
      </w:tr>
      <w:tr w14:paraId="0B8F9A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99" w:hRule="atLeast"/>
          <w:jc w:val="center"/>
        </w:trPr>
        <w:tc>
          <w:tcPr>
            <w:tcW w:w="844" w:type="dxa"/>
            <w:vMerge w:val="continue"/>
            <w:vAlign w:val="center"/>
          </w:tcPr>
          <w:p w14:paraId="4666B250">
            <w:pPr>
              <w:widowControl/>
              <w:jc w:val="left"/>
              <w:rPr>
                <w:rFonts w:hint="eastAsia" w:cs="宋体" w:asciiTheme="minorEastAsia" w:hAnsiTheme="minorEastAsia" w:eastAsiaTheme="minorEastAsia"/>
                <w:bCs/>
                <w:kern w:val="0"/>
                <w:sz w:val="20"/>
                <w:szCs w:val="20"/>
              </w:rPr>
            </w:pPr>
          </w:p>
        </w:tc>
        <w:tc>
          <w:tcPr>
            <w:tcW w:w="3375" w:type="dxa"/>
            <w:gridSpan w:val="3"/>
            <w:shd w:val="clear" w:color="auto" w:fill="auto"/>
            <w:vAlign w:val="center"/>
          </w:tcPr>
          <w:p w14:paraId="6CD385D8">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1、完成年度纪律检查工作；2、配合自治县党委巡察工作领导小组指导全县单位巡访工作；3、依照法律规定履行监督、调查、处置工作。</w:t>
            </w:r>
          </w:p>
        </w:tc>
        <w:tc>
          <w:tcPr>
            <w:tcW w:w="4303" w:type="dxa"/>
            <w:gridSpan w:val="4"/>
            <w:shd w:val="clear" w:color="auto" w:fill="auto"/>
            <w:vAlign w:val="center"/>
          </w:tcPr>
          <w:p w14:paraId="09C2A70F">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截止2023年部门整体自评，我单位已完成如下工工作：保障办公人员数量118人，房屋建筑物供暖面积2152平方米，开展法定节假日落实中央八项规定精神专项督查次数5次，全面从严治党主体责任落实情况检查单位个数50个，完成年度纪律检查工作；配合自治县党委巡察工作领导小组指导全县单位巡访工作；依照法律规定履行监督、调查、处置工作。</w:t>
            </w:r>
          </w:p>
        </w:tc>
      </w:tr>
      <w:tr w14:paraId="56E541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2" w:hRule="atLeast"/>
          <w:jc w:val="center"/>
        </w:trPr>
        <w:tc>
          <w:tcPr>
            <w:tcW w:w="844" w:type="dxa"/>
            <w:shd w:val="clear" w:color="auto" w:fill="auto"/>
            <w:vAlign w:val="center"/>
          </w:tcPr>
          <w:p w14:paraId="1F14E57F">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一级指标</w:t>
            </w:r>
          </w:p>
        </w:tc>
        <w:tc>
          <w:tcPr>
            <w:tcW w:w="676" w:type="dxa"/>
            <w:shd w:val="clear" w:color="auto" w:fill="auto"/>
            <w:vAlign w:val="center"/>
          </w:tcPr>
          <w:p w14:paraId="7FB502A3">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二级指标</w:t>
            </w:r>
          </w:p>
        </w:tc>
        <w:tc>
          <w:tcPr>
            <w:tcW w:w="1282" w:type="dxa"/>
            <w:shd w:val="clear" w:color="auto" w:fill="auto"/>
            <w:vAlign w:val="center"/>
          </w:tcPr>
          <w:p w14:paraId="5E332EAF">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三级指标</w:t>
            </w:r>
          </w:p>
        </w:tc>
        <w:tc>
          <w:tcPr>
            <w:tcW w:w="1417" w:type="dxa"/>
            <w:shd w:val="clear" w:color="auto" w:fill="auto"/>
            <w:vAlign w:val="center"/>
          </w:tcPr>
          <w:p w14:paraId="6C92D8FF">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预期指标值</w:t>
            </w:r>
          </w:p>
        </w:tc>
        <w:tc>
          <w:tcPr>
            <w:tcW w:w="1559" w:type="dxa"/>
            <w:shd w:val="clear" w:color="auto" w:fill="auto"/>
            <w:vAlign w:val="center"/>
          </w:tcPr>
          <w:p w14:paraId="589B9E47">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指标值设定依据</w:t>
            </w:r>
          </w:p>
        </w:tc>
        <w:tc>
          <w:tcPr>
            <w:tcW w:w="995" w:type="dxa"/>
            <w:shd w:val="clear" w:color="auto" w:fill="auto"/>
            <w:vAlign w:val="center"/>
          </w:tcPr>
          <w:p w14:paraId="6513FC82">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分值权重</w:t>
            </w:r>
          </w:p>
        </w:tc>
        <w:tc>
          <w:tcPr>
            <w:tcW w:w="851" w:type="dxa"/>
            <w:shd w:val="clear" w:color="auto" w:fill="auto"/>
            <w:vAlign w:val="center"/>
          </w:tcPr>
          <w:p w14:paraId="4ACAE496">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实际完成指标值</w:t>
            </w:r>
          </w:p>
        </w:tc>
        <w:tc>
          <w:tcPr>
            <w:tcW w:w="898" w:type="dxa"/>
            <w:shd w:val="clear" w:color="auto" w:fill="auto"/>
            <w:vAlign w:val="center"/>
          </w:tcPr>
          <w:p w14:paraId="64B034C4">
            <w:pPr>
              <w:widowControl/>
              <w:jc w:val="center"/>
              <w:rPr>
                <w:rFonts w:hint="eastAsia" w:cs="宋体" w:asciiTheme="minorEastAsia" w:hAnsiTheme="minorEastAsia" w:eastAsiaTheme="minorEastAsia"/>
                <w:bCs/>
                <w:kern w:val="0"/>
                <w:sz w:val="20"/>
                <w:szCs w:val="20"/>
              </w:rPr>
            </w:pPr>
            <w:r>
              <w:rPr>
                <w:rFonts w:hint="eastAsia" w:cs="宋体" w:asciiTheme="minorEastAsia" w:hAnsiTheme="minorEastAsia" w:eastAsiaTheme="minorEastAsia"/>
                <w:bCs/>
                <w:kern w:val="0"/>
                <w:sz w:val="20"/>
                <w:szCs w:val="20"/>
              </w:rPr>
              <w:t>得分</w:t>
            </w:r>
          </w:p>
        </w:tc>
      </w:tr>
      <w:tr w14:paraId="7FF31B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jc w:val="center"/>
        </w:trPr>
        <w:tc>
          <w:tcPr>
            <w:tcW w:w="844" w:type="dxa"/>
            <w:vMerge w:val="restart"/>
            <w:shd w:val="clear" w:color="auto" w:fill="auto"/>
            <w:vAlign w:val="center"/>
          </w:tcPr>
          <w:p w14:paraId="33FEA277">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运行成本</w:t>
            </w:r>
          </w:p>
        </w:tc>
        <w:tc>
          <w:tcPr>
            <w:tcW w:w="676" w:type="dxa"/>
            <w:vMerge w:val="restart"/>
            <w:shd w:val="clear" w:color="auto" w:fill="auto"/>
            <w:vAlign w:val="center"/>
          </w:tcPr>
          <w:p w14:paraId="4AAB6EEB">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数量指标</w:t>
            </w:r>
          </w:p>
        </w:tc>
        <w:tc>
          <w:tcPr>
            <w:tcW w:w="1282" w:type="dxa"/>
            <w:shd w:val="clear" w:color="auto" w:fill="auto"/>
            <w:vAlign w:val="center"/>
          </w:tcPr>
          <w:p w14:paraId="2DCB1659">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保障办公人员数量</w:t>
            </w:r>
          </w:p>
        </w:tc>
        <w:tc>
          <w:tcPr>
            <w:tcW w:w="1417" w:type="dxa"/>
            <w:shd w:val="clear" w:color="auto" w:fill="auto"/>
            <w:vAlign w:val="center"/>
          </w:tcPr>
          <w:p w14:paraId="63251A2A">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&gt;=118人</w:t>
            </w:r>
          </w:p>
        </w:tc>
        <w:tc>
          <w:tcPr>
            <w:tcW w:w="1559" w:type="dxa"/>
            <w:shd w:val="clear" w:color="auto" w:fill="auto"/>
            <w:vAlign w:val="center"/>
          </w:tcPr>
          <w:p w14:paraId="2169A230">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中共木垒县委员会办公室、木垒县人民政府办公室关于印发《木垒县纪委监委职能配置、内设机构和人员编制规定》的通知</w:t>
            </w:r>
          </w:p>
        </w:tc>
        <w:tc>
          <w:tcPr>
            <w:tcW w:w="995" w:type="dxa"/>
            <w:shd w:val="clear" w:color="auto" w:fill="auto"/>
            <w:vAlign w:val="center"/>
          </w:tcPr>
          <w:p w14:paraId="6C7FD89C">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5</w:t>
            </w:r>
          </w:p>
        </w:tc>
        <w:tc>
          <w:tcPr>
            <w:tcW w:w="851" w:type="dxa"/>
            <w:shd w:val="clear" w:color="auto" w:fill="auto"/>
            <w:vAlign w:val="center"/>
          </w:tcPr>
          <w:p w14:paraId="7FA5DC51">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118人</w:t>
            </w:r>
          </w:p>
        </w:tc>
        <w:tc>
          <w:tcPr>
            <w:tcW w:w="898" w:type="dxa"/>
            <w:shd w:val="clear" w:color="auto" w:fill="auto"/>
            <w:vAlign w:val="center"/>
          </w:tcPr>
          <w:p w14:paraId="1902152D">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5</w:t>
            </w:r>
          </w:p>
        </w:tc>
      </w:tr>
      <w:tr w14:paraId="6A9D0D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jc w:val="center"/>
        </w:trPr>
        <w:tc>
          <w:tcPr>
            <w:tcW w:w="844" w:type="dxa"/>
            <w:vMerge w:val="continue"/>
            <w:vAlign w:val="center"/>
          </w:tcPr>
          <w:p w14:paraId="2C792B11">
            <w:pPr>
              <w:widowControl/>
              <w:jc w:val="left"/>
              <w:rPr>
                <w:rFonts w:hint="eastAsia" w:cs="宋体" w:asciiTheme="minorEastAsia" w:hAnsiTheme="minorEastAsia" w:eastAsiaTheme="minorEastAsia"/>
                <w:kern w:val="0"/>
                <w:sz w:val="20"/>
                <w:szCs w:val="20"/>
              </w:rPr>
            </w:pPr>
          </w:p>
        </w:tc>
        <w:tc>
          <w:tcPr>
            <w:tcW w:w="676" w:type="dxa"/>
            <w:vMerge w:val="continue"/>
            <w:vAlign w:val="center"/>
          </w:tcPr>
          <w:p w14:paraId="3F75EAA4">
            <w:pPr>
              <w:widowControl/>
              <w:jc w:val="left"/>
              <w:rPr>
                <w:rFonts w:hint="eastAsia" w:cs="宋体" w:asciiTheme="minorEastAsia" w:hAnsiTheme="minorEastAsia" w:eastAsiaTheme="minorEastAsia"/>
                <w:kern w:val="0"/>
                <w:sz w:val="20"/>
                <w:szCs w:val="20"/>
              </w:rPr>
            </w:pPr>
          </w:p>
        </w:tc>
        <w:tc>
          <w:tcPr>
            <w:tcW w:w="1282" w:type="dxa"/>
            <w:shd w:val="clear" w:color="auto" w:fill="auto"/>
            <w:vAlign w:val="center"/>
          </w:tcPr>
          <w:p w14:paraId="29B769A6">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房屋建筑物供暖面积</w:t>
            </w:r>
          </w:p>
        </w:tc>
        <w:tc>
          <w:tcPr>
            <w:tcW w:w="1417" w:type="dxa"/>
            <w:shd w:val="clear" w:color="auto" w:fill="auto"/>
            <w:vAlign w:val="center"/>
          </w:tcPr>
          <w:p w14:paraId="7C5CD77F">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&gt;2152平方米</w:t>
            </w:r>
          </w:p>
        </w:tc>
        <w:tc>
          <w:tcPr>
            <w:tcW w:w="1559" w:type="dxa"/>
            <w:shd w:val="clear" w:color="auto" w:fill="auto"/>
            <w:vAlign w:val="center"/>
          </w:tcPr>
          <w:p w14:paraId="10C42D4F">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中共木垒县委员会办公室、木垒县人民政府办公室关于印发《木垒县纪委监委职能配置、内设机构和编制规定》的通知</w:t>
            </w:r>
          </w:p>
        </w:tc>
        <w:tc>
          <w:tcPr>
            <w:tcW w:w="995" w:type="dxa"/>
            <w:shd w:val="clear" w:color="auto" w:fill="auto"/>
            <w:vAlign w:val="center"/>
          </w:tcPr>
          <w:p w14:paraId="510AE114">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5</w:t>
            </w:r>
          </w:p>
        </w:tc>
        <w:tc>
          <w:tcPr>
            <w:tcW w:w="851" w:type="dxa"/>
            <w:shd w:val="clear" w:color="auto" w:fill="auto"/>
            <w:vAlign w:val="center"/>
          </w:tcPr>
          <w:p w14:paraId="29698AA4">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2152平方米</w:t>
            </w:r>
          </w:p>
        </w:tc>
        <w:tc>
          <w:tcPr>
            <w:tcW w:w="898" w:type="dxa"/>
            <w:shd w:val="clear" w:color="auto" w:fill="auto"/>
            <w:vAlign w:val="center"/>
          </w:tcPr>
          <w:p w14:paraId="50F88F44">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5</w:t>
            </w:r>
          </w:p>
        </w:tc>
      </w:tr>
      <w:tr w14:paraId="5C2C0C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jc w:val="center"/>
        </w:trPr>
        <w:tc>
          <w:tcPr>
            <w:tcW w:w="844" w:type="dxa"/>
            <w:vMerge w:val="restart"/>
            <w:shd w:val="clear" w:color="auto" w:fill="auto"/>
            <w:vAlign w:val="center"/>
          </w:tcPr>
          <w:p w14:paraId="2627531B">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管理效率</w:t>
            </w:r>
          </w:p>
        </w:tc>
        <w:tc>
          <w:tcPr>
            <w:tcW w:w="676" w:type="dxa"/>
            <w:vMerge w:val="continue"/>
            <w:vAlign w:val="center"/>
          </w:tcPr>
          <w:p w14:paraId="4DAC0049">
            <w:pPr>
              <w:widowControl/>
              <w:jc w:val="left"/>
              <w:rPr>
                <w:rFonts w:hint="eastAsia" w:cs="宋体" w:asciiTheme="minorEastAsia" w:hAnsiTheme="minorEastAsia" w:eastAsiaTheme="minorEastAsia"/>
                <w:kern w:val="0"/>
                <w:sz w:val="20"/>
                <w:szCs w:val="20"/>
              </w:rPr>
            </w:pPr>
          </w:p>
        </w:tc>
        <w:tc>
          <w:tcPr>
            <w:tcW w:w="1282" w:type="dxa"/>
            <w:shd w:val="clear" w:color="auto" w:fill="auto"/>
            <w:vAlign w:val="center"/>
          </w:tcPr>
          <w:p w14:paraId="5A93C350">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开展法定节假日落实中央八项规定精神专项督查次数</w:t>
            </w:r>
          </w:p>
        </w:tc>
        <w:tc>
          <w:tcPr>
            <w:tcW w:w="1417" w:type="dxa"/>
            <w:shd w:val="clear" w:color="auto" w:fill="auto"/>
            <w:vAlign w:val="center"/>
          </w:tcPr>
          <w:p w14:paraId="71B8C93F">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&gt;=5次</w:t>
            </w:r>
          </w:p>
        </w:tc>
        <w:tc>
          <w:tcPr>
            <w:tcW w:w="1559" w:type="dxa"/>
            <w:shd w:val="clear" w:color="auto" w:fill="auto"/>
            <w:vAlign w:val="center"/>
          </w:tcPr>
          <w:p w14:paraId="590D7962">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中共木垒哈萨克自治县纪律检查委员会2023年工作计划</w:t>
            </w:r>
          </w:p>
        </w:tc>
        <w:tc>
          <w:tcPr>
            <w:tcW w:w="995" w:type="dxa"/>
            <w:shd w:val="clear" w:color="auto" w:fill="auto"/>
            <w:vAlign w:val="center"/>
          </w:tcPr>
          <w:p w14:paraId="74F69C69">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20</w:t>
            </w:r>
          </w:p>
        </w:tc>
        <w:tc>
          <w:tcPr>
            <w:tcW w:w="851" w:type="dxa"/>
            <w:shd w:val="clear" w:color="auto" w:fill="auto"/>
            <w:vAlign w:val="center"/>
          </w:tcPr>
          <w:p w14:paraId="33DB52FE">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5次</w:t>
            </w:r>
          </w:p>
        </w:tc>
        <w:tc>
          <w:tcPr>
            <w:tcW w:w="898" w:type="dxa"/>
            <w:shd w:val="clear" w:color="auto" w:fill="auto"/>
            <w:vAlign w:val="center"/>
          </w:tcPr>
          <w:p w14:paraId="000BB504">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20</w:t>
            </w:r>
          </w:p>
        </w:tc>
      </w:tr>
      <w:tr w14:paraId="2C33E8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jc w:val="center"/>
        </w:trPr>
        <w:tc>
          <w:tcPr>
            <w:tcW w:w="844" w:type="dxa"/>
            <w:vMerge w:val="continue"/>
            <w:vAlign w:val="center"/>
          </w:tcPr>
          <w:p w14:paraId="20EE5756">
            <w:pPr>
              <w:widowControl/>
              <w:jc w:val="left"/>
              <w:rPr>
                <w:rFonts w:hint="eastAsia" w:cs="宋体" w:asciiTheme="minorEastAsia" w:hAnsiTheme="minorEastAsia" w:eastAsiaTheme="minorEastAsia"/>
                <w:kern w:val="0"/>
                <w:sz w:val="20"/>
                <w:szCs w:val="20"/>
              </w:rPr>
            </w:pPr>
          </w:p>
        </w:tc>
        <w:tc>
          <w:tcPr>
            <w:tcW w:w="676" w:type="dxa"/>
            <w:shd w:val="clear" w:color="auto" w:fill="auto"/>
            <w:vAlign w:val="center"/>
          </w:tcPr>
          <w:p w14:paraId="7299383C">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质量指标</w:t>
            </w:r>
          </w:p>
        </w:tc>
        <w:tc>
          <w:tcPr>
            <w:tcW w:w="1282" w:type="dxa"/>
            <w:shd w:val="clear" w:color="auto" w:fill="auto"/>
            <w:vAlign w:val="center"/>
          </w:tcPr>
          <w:p w14:paraId="7B0F4643">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常规及专项巡察覆盖率</w:t>
            </w:r>
          </w:p>
        </w:tc>
        <w:tc>
          <w:tcPr>
            <w:tcW w:w="1417" w:type="dxa"/>
            <w:shd w:val="clear" w:color="auto" w:fill="auto"/>
            <w:vAlign w:val="center"/>
          </w:tcPr>
          <w:p w14:paraId="14076AE9">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=100%</w:t>
            </w:r>
          </w:p>
        </w:tc>
        <w:tc>
          <w:tcPr>
            <w:tcW w:w="1559" w:type="dxa"/>
            <w:shd w:val="clear" w:color="auto" w:fill="auto"/>
            <w:vAlign w:val="center"/>
          </w:tcPr>
          <w:p w14:paraId="7B9D15C7">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中共木垒哈萨克自治县纪律检查委员会2023年工作计划</w:t>
            </w:r>
          </w:p>
        </w:tc>
        <w:tc>
          <w:tcPr>
            <w:tcW w:w="995" w:type="dxa"/>
            <w:shd w:val="clear" w:color="auto" w:fill="auto"/>
            <w:vAlign w:val="center"/>
          </w:tcPr>
          <w:p w14:paraId="545968C8">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20</w:t>
            </w:r>
          </w:p>
        </w:tc>
        <w:tc>
          <w:tcPr>
            <w:tcW w:w="851" w:type="dxa"/>
            <w:shd w:val="clear" w:color="auto" w:fill="auto"/>
            <w:vAlign w:val="center"/>
          </w:tcPr>
          <w:p w14:paraId="0515934E">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100%</w:t>
            </w:r>
          </w:p>
        </w:tc>
        <w:tc>
          <w:tcPr>
            <w:tcW w:w="898" w:type="dxa"/>
            <w:shd w:val="clear" w:color="auto" w:fill="auto"/>
            <w:vAlign w:val="center"/>
          </w:tcPr>
          <w:p w14:paraId="27C0D83A">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20</w:t>
            </w:r>
          </w:p>
        </w:tc>
      </w:tr>
      <w:tr w14:paraId="406DAC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jc w:val="center"/>
        </w:trPr>
        <w:tc>
          <w:tcPr>
            <w:tcW w:w="844" w:type="dxa"/>
            <w:vMerge w:val="restart"/>
            <w:shd w:val="clear" w:color="auto" w:fill="auto"/>
            <w:vAlign w:val="center"/>
          </w:tcPr>
          <w:p w14:paraId="5E5B649D">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履职效能</w:t>
            </w:r>
          </w:p>
        </w:tc>
        <w:tc>
          <w:tcPr>
            <w:tcW w:w="676" w:type="dxa"/>
            <w:vMerge w:val="restart"/>
            <w:shd w:val="clear" w:color="auto" w:fill="auto"/>
            <w:vAlign w:val="center"/>
          </w:tcPr>
          <w:p w14:paraId="732FC5F4">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数量指标</w:t>
            </w:r>
          </w:p>
        </w:tc>
        <w:tc>
          <w:tcPr>
            <w:tcW w:w="1282" w:type="dxa"/>
            <w:shd w:val="clear" w:color="auto" w:fill="auto"/>
            <w:vAlign w:val="center"/>
          </w:tcPr>
          <w:p w14:paraId="0ACA2990">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全面从严治党主体责任落实情况检查单位个数</w:t>
            </w:r>
          </w:p>
        </w:tc>
        <w:tc>
          <w:tcPr>
            <w:tcW w:w="1417" w:type="dxa"/>
            <w:shd w:val="clear" w:color="auto" w:fill="auto"/>
            <w:vAlign w:val="center"/>
          </w:tcPr>
          <w:p w14:paraId="08A93FF9">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&gt;=50个</w:t>
            </w:r>
          </w:p>
        </w:tc>
        <w:tc>
          <w:tcPr>
            <w:tcW w:w="1559" w:type="dxa"/>
            <w:shd w:val="clear" w:color="auto" w:fill="auto"/>
            <w:vAlign w:val="center"/>
          </w:tcPr>
          <w:p w14:paraId="6007F1F2">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中共木垒哈萨克自治县纪律检查委员会2023年工作计划</w:t>
            </w:r>
          </w:p>
        </w:tc>
        <w:tc>
          <w:tcPr>
            <w:tcW w:w="995" w:type="dxa"/>
            <w:shd w:val="clear" w:color="auto" w:fill="auto"/>
            <w:vAlign w:val="center"/>
          </w:tcPr>
          <w:p w14:paraId="2BD9BD7D">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c>
          <w:tcPr>
            <w:tcW w:w="851" w:type="dxa"/>
            <w:shd w:val="clear" w:color="auto" w:fill="auto"/>
            <w:vAlign w:val="center"/>
          </w:tcPr>
          <w:p w14:paraId="5B471F74">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50个</w:t>
            </w:r>
          </w:p>
        </w:tc>
        <w:tc>
          <w:tcPr>
            <w:tcW w:w="898" w:type="dxa"/>
            <w:shd w:val="clear" w:color="auto" w:fill="auto"/>
            <w:vAlign w:val="center"/>
          </w:tcPr>
          <w:p w14:paraId="528E8413">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r>
      <w:tr w14:paraId="374945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jc w:val="center"/>
        </w:trPr>
        <w:tc>
          <w:tcPr>
            <w:tcW w:w="844" w:type="dxa"/>
            <w:vMerge w:val="continue"/>
            <w:vAlign w:val="center"/>
          </w:tcPr>
          <w:p w14:paraId="4A6EAF83">
            <w:pPr>
              <w:widowControl/>
              <w:jc w:val="left"/>
              <w:rPr>
                <w:rFonts w:hint="eastAsia" w:cs="宋体" w:asciiTheme="minorEastAsia" w:hAnsiTheme="minorEastAsia" w:eastAsiaTheme="minorEastAsia"/>
                <w:kern w:val="0"/>
                <w:sz w:val="20"/>
                <w:szCs w:val="20"/>
              </w:rPr>
            </w:pPr>
          </w:p>
        </w:tc>
        <w:tc>
          <w:tcPr>
            <w:tcW w:w="676" w:type="dxa"/>
            <w:vMerge w:val="continue"/>
            <w:vAlign w:val="center"/>
          </w:tcPr>
          <w:p w14:paraId="13501C4B">
            <w:pPr>
              <w:widowControl/>
              <w:jc w:val="left"/>
              <w:rPr>
                <w:rFonts w:hint="eastAsia" w:cs="宋体" w:asciiTheme="minorEastAsia" w:hAnsiTheme="minorEastAsia" w:eastAsiaTheme="minorEastAsia"/>
                <w:kern w:val="0"/>
                <w:sz w:val="20"/>
                <w:szCs w:val="20"/>
              </w:rPr>
            </w:pPr>
          </w:p>
        </w:tc>
        <w:tc>
          <w:tcPr>
            <w:tcW w:w="1282" w:type="dxa"/>
            <w:shd w:val="clear" w:color="auto" w:fill="auto"/>
            <w:vAlign w:val="center"/>
          </w:tcPr>
          <w:p w14:paraId="035A2BB6">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2023年巡察轮次数</w:t>
            </w:r>
          </w:p>
        </w:tc>
        <w:tc>
          <w:tcPr>
            <w:tcW w:w="1417" w:type="dxa"/>
            <w:shd w:val="clear" w:color="auto" w:fill="auto"/>
            <w:vAlign w:val="center"/>
          </w:tcPr>
          <w:p w14:paraId="354B9D04">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&gt;=3轮次</w:t>
            </w:r>
          </w:p>
        </w:tc>
        <w:tc>
          <w:tcPr>
            <w:tcW w:w="1559" w:type="dxa"/>
            <w:shd w:val="clear" w:color="auto" w:fill="auto"/>
            <w:vAlign w:val="center"/>
          </w:tcPr>
          <w:p w14:paraId="30D36943">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中共木垒哈萨克自治县纪律检查委员会2023年工作计划</w:t>
            </w:r>
          </w:p>
        </w:tc>
        <w:tc>
          <w:tcPr>
            <w:tcW w:w="995" w:type="dxa"/>
            <w:shd w:val="clear" w:color="auto" w:fill="auto"/>
            <w:vAlign w:val="center"/>
          </w:tcPr>
          <w:p w14:paraId="3979FBC4">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20</w:t>
            </w:r>
          </w:p>
        </w:tc>
        <w:tc>
          <w:tcPr>
            <w:tcW w:w="851" w:type="dxa"/>
            <w:shd w:val="clear" w:color="auto" w:fill="auto"/>
            <w:vAlign w:val="center"/>
          </w:tcPr>
          <w:p w14:paraId="17BC7289">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3轮次</w:t>
            </w:r>
          </w:p>
        </w:tc>
        <w:tc>
          <w:tcPr>
            <w:tcW w:w="898" w:type="dxa"/>
            <w:shd w:val="clear" w:color="auto" w:fill="auto"/>
            <w:vAlign w:val="center"/>
          </w:tcPr>
          <w:p w14:paraId="3382AD90">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20</w:t>
            </w:r>
          </w:p>
        </w:tc>
      </w:tr>
      <w:tr w14:paraId="368BFC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jc w:val="center"/>
        </w:trPr>
        <w:tc>
          <w:tcPr>
            <w:tcW w:w="844" w:type="dxa"/>
            <w:shd w:val="clear" w:color="auto" w:fill="auto"/>
            <w:noWrap/>
            <w:vAlign w:val="center"/>
          </w:tcPr>
          <w:p w14:paraId="10F0B835">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社会效益</w:t>
            </w:r>
          </w:p>
        </w:tc>
        <w:tc>
          <w:tcPr>
            <w:tcW w:w="676" w:type="dxa"/>
            <w:vMerge w:val="continue"/>
            <w:vAlign w:val="center"/>
          </w:tcPr>
          <w:p w14:paraId="7DD77456">
            <w:pPr>
              <w:widowControl/>
              <w:jc w:val="left"/>
              <w:rPr>
                <w:rFonts w:hint="eastAsia" w:cs="宋体" w:asciiTheme="minorEastAsia" w:hAnsiTheme="minorEastAsia" w:eastAsiaTheme="minorEastAsia"/>
                <w:kern w:val="0"/>
                <w:sz w:val="20"/>
                <w:szCs w:val="20"/>
              </w:rPr>
            </w:pPr>
          </w:p>
        </w:tc>
        <w:tc>
          <w:tcPr>
            <w:tcW w:w="1282" w:type="dxa"/>
            <w:shd w:val="clear" w:color="auto" w:fill="auto"/>
            <w:noWrap/>
            <w:vAlign w:val="center"/>
          </w:tcPr>
          <w:p w14:paraId="4D96F217">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党员干部队伍中违纪违规等腐败案件查办率</w:t>
            </w:r>
          </w:p>
        </w:tc>
        <w:tc>
          <w:tcPr>
            <w:tcW w:w="1417" w:type="dxa"/>
            <w:shd w:val="clear" w:color="auto" w:fill="auto"/>
            <w:noWrap/>
            <w:vAlign w:val="center"/>
          </w:tcPr>
          <w:p w14:paraId="32D23718">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&gt;=90%</w:t>
            </w:r>
          </w:p>
        </w:tc>
        <w:tc>
          <w:tcPr>
            <w:tcW w:w="1559" w:type="dxa"/>
            <w:shd w:val="clear" w:color="auto" w:fill="auto"/>
            <w:noWrap/>
            <w:vAlign w:val="center"/>
          </w:tcPr>
          <w:p w14:paraId="45986C49">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中共木垒哈萨克自治县纪律检查委员会2023年工作计划</w:t>
            </w:r>
          </w:p>
        </w:tc>
        <w:tc>
          <w:tcPr>
            <w:tcW w:w="995" w:type="dxa"/>
            <w:shd w:val="clear" w:color="auto" w:fill="auto"/>
            <w:noWrap/>
            <w:vAlign w:val="center"/>
          </w:tcPr>
          <w:p w14:paraId="037EFAD3">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c>
          <w:tcPr>
            <w:tcW w:w="851" w:type="dxa"/>
            <w:shd w:val="clear" w:color="auto" w:fill="auto"/>
            <w:noWrap/>
            <w:vAlign w:val="center"/>
          </w:tcPr>
          <w:p w14:paraId="39691D03">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90%</w:t>
            </w:r>
          </w:p>
        </w:tc>
        <w:tc>
          <w:tcPr>
            <w:tcW w:w="898" w:type="dxa"/>
            <w:shd w:val="clear" w:color="auto" w:fill="auto"/>
            <w:noWrap/>
            <w:vAlign w:val="center"/>
          </w:tcPr>
          <w:p w14:paraId="108AC3F3">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r>
      <w:tr w14:paraId="57FA69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jc w:val="center"/>
        </w:trPr>
        <w:tc>
          <w:tcPr>
            <w:tcW w:w="844" w:type="dxa"/>
            <w:shd w:val="clear" w:color="auto" w:fill="auto"/>
            <w:noWrap/>
            <w:vAlign w:val="center"/>
          </w:tcPr>
          <w:p w14:paraId="3355F4FC">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可持续发展能力</w:t>
            </w:r>
          </w:p>
        </w:tc>
        <w:tc>
          <w:tcPr>
            <w:tcW w:w="676" w:type="dxa"/>
            <w:shd w:val="clear" w:color="auto" w:fill="auto"/>
            <w:noWrap/>
            <w:vAlign w:val="center"/>
          </w:tcPr>
          <w:p w14:paraId="03A42897">
            <w:pPr>
              <w:widowControl/>
              <w:jc w:val="left"/>
              <w:rPr>
                <w:rFonts w:hint="eastAsia" w:cs="宋体" w:asciiTheme="minorEastAsia" w:hAnsiTheme="minorEastAsia" w:eastAsiaTheme="minorEastAsia"/>
                <w:kern w:val="0"/>
                <w:sz w:val="20"/>
                <w:szCs w:val="20"/>
              </w:rPr>
            </w:pPr>
          </w:p>
        </w:tc>
        <w:tc>
          <w:tcPr>
            <w:tcW w:w="1282" w:type="dxa"/>
            <w:shd w:val="clear" w:color="auto" w:fill="auto"/>
            <w:noWrap/>
            <w:vAlign w:val="center"/>
          </w:tcPr>
          <w:p w14:paraId="4BB5CF71">
            <w:pPr>
              <w:widowControl/>
              <w:jc w:val="left"/>
              <w:rPr>
                <w:rFonts w:hint="eastAsia" w:asciiTheme="minorEastAsia" w:hAnsiTheme="minorEastAsia" w:eastAsiaTheme="minorEastAsia"/>
                <w:kern w:val="0"/>
                <w:sz w:val="20"/>
                <w:szCs w:val="20"/>
              </w:rPr>
            </w:pPr>
          </w:p>
        </w:tc>
        <w:tc>
          <w:tcPr>
            <w:tcW w:w="1417" w:type="dxa"/>
            <w:shd w:val="clear" w:color="auto" w:fill="auto"/>
            <w:noWrap/>
            <w:vAlign w:val="center"/>
          </w:tcPr>
          <w:p w14:paraId="18E410CC">
            <w:pPr>
              <w:widowControl/>
              <w:jc w:val="left"/>
              <w:rPr>
                <w:rFonts w:hint="eastAsia" w:asciiTheme="minorEastAsia" w:hAnsiTheme="minorEastAsia" w:eastAsiaTheme="minorEastAsia"/>
                <w:kern w:val="0"/>
                <w:sz w:val="20"/>
                <w:szCs w:val="20"/>
              </w:rPr>
            </w:pPr>
          </w:p>
        </w:tc>
        <w:tc>
          <w:tcPr>
            <w:tcW w:w="1559" w:type="dxa"/>
            <w:shd w:val="clear" w:color="auto" w:fill="auto"/>
            <w:noWrap/>
            <w:vAlign w:val="center"/>
          </w:tcPr>
          <w:p w14:paraId="0065276C">
            <w:pPr>
              <w:widowControl/>
              <w:jc w:val="left"/>
              <w:rPr>
                <w:rFonts w:hint="eastAsia" w:asciiTheme="minorEastAsia" w:hAnsiTheme="minorEastAsia" w:eastAsiaTheme="minorEastAsia"/>
                <w:kern w:val="0"/>
                <w:sz w:val="20"/>
                <w:szCs w:val="20"/>
              </w:rPr>
            </w:pPr>
          </w:p>
        </w:tc>
        <w:tc>
          <w:tcPr>
            <w:tcW w:w="995" w:type="dxa"/>
            <w:shd w:val="clear" w:color="auto" w:fill="auto"/>
            <w:noWrap/>
            <w:vAlign w:val="center"/>
          </w:tcPr>
          <w:p w14:paraId="43A60E62">
            <w:pPr>
              <w:widowControl/>
              <w:jc w:val="left"/>
              <w:rPr>
                <w:rFonts w:hint="eastAsia" w:asciiTheme="minorEastAsia" w:hAnsiTheme="minorEastAsia" w:eastAsiaTheme="minorEastAsia"/>
                <w:kern w:val="0"/>
                <w:sz w:val="20"/>
                <w:szCs w:val="20"/>
              </w:rPr>
            </w:pPr>
          </w:p>
        </w:tc>
        <w:tc>
          <w:tcPr>
            <w:tcW w:w="851" w:type="dxa"/>
            <w:shd w:val="clear" w:color="auto" w:fill="auto"/>
            <w:noWrap/>
            <w:vAlign w:val="center"/>
          </w:tcPr>
          <w:p w14:paraId="5482AFA0">
            <w:pPr>
              <w:widowControl/>
              <w:jc w:val="left"/>
              <w:rPr>
                <w:rFonts w:hint="eastAsia" w:asciiTheme="minorEastAsia" w:hAnsiTheme="minorEastAsia" w:eastAsiaTheme="minorEastAsia"/>
                <w:kern w:val="0"/>
                <w:sz w:val="20"/>
                <w:szCs w:val="20"/>
              </w:rPr>
            </w:pPr>
          </w:p>
        </w:tc>
        <w:tc>
          <w:tcPr>
            <w:tcW w:w="898" w:type="dxa"/>
            <w:shd w:val="clear" w:color="auto" w:fill="auto"/>
            <w:noWrap/>
            <w:vAlign w:val="center"/>
          </w:tcPr>
          <w:p w14:paraId="3498762D">
            <w:pPr>
              <w:widowControl/>
              <w:jc w:val="left"/>
              <w:rPr>
                <w:rFonts w:hint="eastAsia" w:asciiTheme="minorEastAsia" w:hAnsiTheme="minorEastAsia" w:eastAsiaTheme="minorEastAsia"/>
                <w:kern w:val="0"/>
                <w:sz w:val="20"/>
                <w:szCs w:val="20"/>
              </w:rPr>
            </w:pPr>
          </w:p>
        </w:tc>
      </w:tr>
      <w:tr w14:paraId="730E15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jc w:val="center"/>
        </w:trPr>
        <w:tc>
          <w:tcPr>
            <w:tcW w:w="844" w:type="dxa"/>
            <w:shd w:val="clear" w:color="auto" w:fill="auto"/>
            <w:noWrap/>
            <w:vAlign w:val="center"/>
          </w:tcPr>
          <w:p w14:paraId="3CA0B79D">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服务对象满意度</w:t>
            </w:r>
          </w:p>
        </w:tc>
        <w:tc>
          <w:tcPr>
            <w:tcW w:w="676" w:type="dxa"/>
            <w:shd w:val="clear" w:color="auto" w:fill="auto"/>
            <w:noWrap/>
            <w:vAlign w:val="center"/>
          </w:tcPr>
          <w:p w14:paraId="7CB0CF95">
            <w:pPr>
              <w:widowControl/>
              <w:jc w:val="left"/>
              <w:rPr>
                <w:rFonts w:hint="eastAsia" w:cs="宋体" w:asciiTheme="minorEastAsia" w:hAnsiTheme="minorEastAsia" w:eastAsiaTheme="minorEastAsia"/>
                <w:kern w:val="0"/>
                <w:sz w:val="20"/>
                <w:szCs w:val="20"/>
              </w:rPr>
            </w:pPr>
          </w:p>
        </w:tc>
        <w:tc>
          <w:tcPr>
            <w:tcW w:w="1282" w:type="dxa"/>
            <w:shd w:val="clear" w:color="auto" w:fill="auto"/>
            <w:noWrap/>
            <w:vAlign w:val="center"/>
          </w:tcPr>
          <w:p w14:paraId="26188742">
            <w:pPr>
              <w:widowControl/>
              <w:jc w:val="left"/>
              <w:rPr>
                <w:rFonts w:hint="eastAsia" w:asciiTheme="minorEastAsia" w:hAnsiTheme="minorEastAsia" w:eastAsiaTheme="minorEastAsia"/>
                <w:kern w:val="0"/>
                <w:sz w:val="20"/>
                <w:szCs w:val="20"/>
              </w:rPr>
            </w:pPr>
          </w:p>
        </w:tc>
        <w:tc>
          <w:tcPr>
            <w:tcW w:w="1417" w:type="dxa"/>
            <w:shd w:val="clear" w:color="auto" w:fill="auto"/>
            <w:noWrap/>
            <w:vAlign w:val="center"/>
          </w:tcPr>
          <w:p w14:paraId="1609B9D5">
            <w:pPr>
              <w:widowControl/>
              <w:jc w:val="left"/>
              <w:rPr>
                <w:rFonts w:hint="eastAsia" w:asciiTheme="minorEastAsia" w:hAnsiTheme="minorEastAsia" w:eastAsiaTheme="minorEastAsia"/>
                <w:kern w:val="0"/>
                <w:sz w:val="20"/>
                <w:szCs w:val="20"/>
              </w:rPr>
            </w:pPr>
          </w:p>
        </w:tc>
        <w:tc>
          <w:tcPr>
            <w:tcW w:w="1559" w:type="dxa"/>
            <w:shd w:val="clear" w:color="auto" w:fill="auto"/>
            <w:noWrap/>
            <w:vAlign w:val="center"/>
          </w:tcPr>
          <w:p w14:paraId="0E2AE577">
            <w:pPr>
              <w:widowControl/>
              <w:jc w:val="left"/>
              <w:rPr>
                <w:rFonts w:hint="eastAsia" w:asciiTheme="minorEastAsia" w:hAnsiTheme="minorEastAsia" w:eastAsiaTheme="minorEastAsia"/>
                <w:kern w:val="0"/>
                <w:sz w:val="20"/>
                <w:szCs w:val="20"/>
              </w:rPr>
            </w:pPr>
          </w:p>
        </w:tc>
        <w:tc>
          <w:tcPr>
            <w:tcW w:w="995" w:type="dxa"/>
            <w:shd w:val="clear" w:color="auto" w:fill="auto"/>
            <w:noWrap/>
            <w:vAlign w:val="center"/>
          </w:tcPr>
          <w:p w14:paraId="1EB1CBD7">
            <w:pPr>
              <w:widowControl/>
              <w:jc w:val="left"/>
              <w:rPr>
                <w:rFonts w:hint="eastAsia" w:asciiTheme="minorEastAsia" w:hAnsiTheme="minorEastAsia" w:eastAsiaTheme="minorEastAsia"/>
                <w:kern w:val="0"/>
                <w:sz w:val="20"/>
                <w:szCs w:val="20"/>
              </w:rPr>
            </w:pPr>
          </w:p>
        </w:tc>
        <w:tc>
          <w:tcPr>
            <w:tcW w:w="851" w:type="dxa"/>
            <w:shd w:val="clear" w:color="auto" w:fill="auto"/>
            <w:noWrap/>
            <w:vAlign w:val="center"/>
          </w:tcPr>
          <w:p w14:paraId="25E5C721">
            <w:pPr>
              <w:widowControl/>
              <w:jc w:val="left"/>
              <w:rPr>
                <w:rFonts w:hint="eastAsia" w:asciiTheme="minorEastAsia" w:hAnsiTheme="minorEastAsia" w:eastAsiaTheme="minorEastAsia"/>
                <w:kern w:val="0"/>
                <w:sz w:val="20"/>
                <w:szCs w:val="20"/>
              </w:rPr>
            </w:pPr>
          </w:p>
        </w:tc>
        <w:tc>
          <w:tcPr>
            <w:tcW w:w="898" w:type="dxa"/>
            <w:shd w:val="clear" w:color="auto" w:fill="auto"/>
            <w:noWrap/>
            <w:vAlign w:val="center"/>
          </w:tcPr>
          <w:p w14:paraId="7B151686">
            <w:pPr>
              <w:widowControl/>
              <w:jc w:val="left"/>
              <w:rPr>
                <w:rFonts w:hint="eastAsia" w:asciiTheme="minorEastAsia" w:hAnsiTheme="minorEastAsia" w:eastAsiaTheme="minorEastAsia"/>
                <w:kern w:val="0"/>
                <w:sz w:val="20"/>
                <w:szCs w:val="20"/>
              </w:rPr>
            </w:pPr>
          </w:p>
        </w:tc>
      </w:tr>
    </w:tbl>
    <w:p w14:paraId="7E5055E9">
      <w:pPr>
        <w:ind w:firstLine="643" w:firstLineChars="200"/>
        <w:jc w:val="left"/>
        <w:rPr>
          <w:rFonts w:hint="eastAsia" w:ascii="仿宋_GB2312" w:hAnsi="仿宋_GB2312" w:eastAsia="仿宋_GB2312" w:cs="仿宋_GB2312"/>
          <w:b/>
          <w:bCs/>
          <w:kern w:val="0"/>
          <w:sz w:val="32"/>
          <w:szCs w:val="32"/>
          <w:lang w:eastAsia="zh-Hans"/>
        </w:rPr>
      </w:pPr>
    </w:p>
    <w:tbl>
      <w:tblPr>
        <w:tblStyle w:val="9"/>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08"/>
        <w:gridCol w:w="412"/>
        <w:gridCol w:w="716"/>
        <w:gridCol w:w="481"/>
        <w:gridCol w:w="1215"/>
        <w:gridCol w:w="423"/>
        <w:gridCol w:w="1280"/>
        <w:gridCol w:w="1237"/>
        <w:gridCol w:w="37"/>
        <w:gridCol w:w="472"/>
        <w:gridCol w:w="261"/>
        <w:gridCol w:w="392"/>
        <w:gridCol w:w="499"/>
        <w:gridCol w:w="689"/>
      </w:tblGrid>
      <w:tr w14:paraId="7F4794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5000" w:type="pct"/>
            <w:gridSpan w:val="14"/>
            <w:shd w:val="clear" w:color="auto" w:fill="auto"/>
            <w:vAlign w:val="center"/>
          </w:tcPr>
          <w:p w14:paraId="6AFCCCBE">
            <w:pPr>
              <w:widowControl/>
              <w:jc w:val="center"/>
              <w:rPr>
                <w:rFonts w:hint="eastAsia" w:ascii="宋体" w:hAnsi="宋体" w:cs="宋体"/>
                <w:b/>
                <w:bCs/>
                <w:color w:val="000000"/>
                <w:kern w:val="0"/>
                <w:sz w:val="32"/>
                <w:szCs w:val="32"/>
              </w:rPr>
            </w:pPr>
            <w:r>
              <w:rPr>
                <w:rFonts w:hint="eastAsia" w:ascii="宋体" w:hAnsi="宋体" w:cs="宋体"/>
                <w:color w:val="000000"/>
                <w:kern w:val="0"/>
                <w:sz w:val="20"/>
                <w:szCs w:val="20"/>
              </w:rPr>
              <w:t>项目支出绩效自评表</w:t>
            </w:r>
          </w:p>
        </w:tc>
      </w:tr>
      <w:tr w14:paraId="3216CB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5000" w:type="pct"/>
            <w:gridSpan w:val="14"/>
            <w:shd w:val="clear" w:color="auto" w:fill="auto"/>
            <w:vAlign w:val="center"/>
          </w:tcPr>
          <w:p w14:paraId="7806A5E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5D7316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481" w:type="pct"/>
            <w:gridSpan w:val="2"/>
            <w:shd w:val="clear" w:color="auto" w:fill="auto"/>
            <w:vAlign w:val="center"/>
          </w:tcPr>
          <w:p w14:paraId="2F7ABC5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4518" w:type="pct"/>
            <w:gridSpan w:val="12"/>
            <w:shd w:val="clear" w:color="auto" w:fill="auto"/>
            <w:vAlign w:val="center"/>
          </w:tcPr>
          <w:p w14:paraId="12979D1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2023年度工作队驻村经费</w:t>
            </w:r>
          </w:p>
        </w:tc>
      </w:tr>
      <w:tr w14:paraId="28285C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481" w:type="pct"/>
            <w:gridSpan w:val="2"/>
            <w:shd w:val="clear" w:color="auto" w:fill="auto"/>
            <w:vAlign w:val="center"/>
          </w:tcPr>
          <w:p w14:paraId="233922E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2414" w:type="pct"/>
            <w:gridSpan w:val="5"/>
            <w:shd w:val="clear" w:color="auto" w:fill="auto"/>
            <w:vAlign w:val="center"/>
          </w:tcPr>
          <w:p w14:paraId="61FD5CD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木垒县纪律检查委员会</w:t>
            </w:r>
          </w:p>
        </w:tc>
        <w:tc>
          <w:tcPr>
            <w:tcW w:w="748" w:type="pct"/>
            <w:gridSpan w:val="2"/>
            <w:shd w:val="clear" w:color="auto" w:fill="auto"/>
            <w:vAlign w:val="center"/>
          </w:tcPr>
          <w:p w14:paraId="4FDEE11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1355" w:type="pct"/>
            <w:gridSpan w:val="5"/>
            <w:shd w:val="clear" w:color="auto" w:fill="auto"/>
            <w:vAlign w:val="center"/>
          </w:tcPr>
          <w:p w14:paraId="346F2D4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木垒县纪律检查委员会</w:t>
            </w:r>
          </w:p>
        </w:tc>
      </w:tr>
      <w:tr w14:paraId="1EB575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481" w:type="pct"/>
            <w:gridSpan w:val="2"/>
            <w:vMerge w:val="restart"/>
            <w:shd w:val="clear" w:color="auto" w:fill="auto"/>
            <w:vAlign w:val="center"/>
          </w:tcPr>
          <w:p w14:paraId="2F7A08F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702" w:type="pct"/>
            <w:gridSpan w:val="2"/>
            <w:shd w:val="clear" w:color="auto" w:fill="auto"/>
            <w:vAlign w:val="center"/>
          </w:tcPr>
          <w:p w14:paraId="77B5AFF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61" w:type="pct"/>
            <w:gridSpan w:val="2"/>
            <w:shd w:val="clear" w:color="auto" w:fill="auto"/>
            <w:vAlign w:val="center"/>
          </w:tcPr>
          <w:p w14:paraId="102C42D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750" w:type="pct"/>
            <w:shd w:val="clear" w:color="auto" w:fill="auto"/>
            <w:vAlign w:val="center"/>
          </w:tcPr>
          <w:p w14:paraId="0D0DF1A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748" w:type="pct"/>
            <w:gridSpan w:val="2"/>
            <w:shd w:val="clear" w:color="auto" w:fill="auto"/>
            <w:vAlign w:val="center"/>
          </w:tcPr>
          <w:p w14:paraId="6AFD481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430" w:type="pct"/>
            <w:gridSpan w:val="2"/>
            <w:shd w:val="clear" w:color="auto" w:fill="auto"/>
            <w:vAlign w:val="center"/>
          </w:tcPr>
          <w:p w14:paraId="11C2CCA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523" w:type="pct"/>
            <w:gridSpan w:val="2"/>
            <w:shd w:val="clear" w:color="auto" w:fill="auto"/>
            <w:vAlign w:val="center"/>
          </w:tcPr>
          <w:p w14:paraId="7932151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400" w:type="pct"/>
            <w:shd w:val="clear" w:color="auto" w:fill="auto"/>
            <w:vAlign w:val="center"/>
          </w:tcPr>
          <w:p w14:paraId="115FAE7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3BA7A1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481" w:type="pct"/>
            <w:gridSpan w:val="2"/>
            <w:vMerge w:val="continue"/>
            <w:vAlign w:val="center"/>
          </w:tcPr>
          <w:p w14:paraId="325F3C64">
            <w:pPr>
              <w:widowControl/>
              <w:jc w:val="left"/>
              <w:rPr>
                <w:rFonts w:hint="eastAsia" w:ascii="宋体" w:hAnsi="宋体" w:cs="宋体"/>
                <w:color w:val="000000"/>
                <w:kern w:val="0"/>
                <w:sz w:val="20"/>
                <w:szCs w:val="20"/>
              </w:rPr>
            </w:pPr>
          </w:p>
        </w:tc>
        <w:tc>
          <w:tcPr>
            <w:tcW w:w="702" w:type="pct"/>
            <w:gridSpan w:val="2"/>
            <w:shd w:val="clear" w:color="auto" w:fill="auto"/>
            <w:vAlign w:val="center"/>
          </w:tcPr>
          <w:p w14:paraId="0A9C87A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961" w:type="pct"/>
            <w:gridSpan w:val="2"/>
            <w:shd w:val="clear" w:color="auto" w:fill="auto"/>
            <w:vAlign w:val="center"/>
          </w:tcPr>
          <w:p w14:paraId="320C8B1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12.54</w:t>
            </w:r>
          </w:p>
        </w:tc>
        <w:tc>
          <w:tcPr>
            <w:tcW w:w="750" w:type="pct"/>
            <w:shd w:val="clear" w:color="auto" w:fill="auto"/>
            <w:vAlign w:val="center"/>
          </w:tcPr>
          <w:p w14:paraId="2640325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12.54</w:t>
            </w:r>
          </w:p>
        </w:tc>
        <w:tc>
          <w:tcPr>
            <w:tcW w:w="748" w:type="pct"/>
            <w:gridSpan w:val="2"/>
            <w:shd w:val="clear" w:color="auto" w:fill="auto"/>
            <w:vAlign w:val="center"/>
          </w:tcPr>
          <w:p w14:paraId="07D816A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12.54</w:t>
            </w:r>
          </w:p>
        </w:tc>
        <w:tc>
          <w:tcPr>
            <w:tcW w:w="430" w:type="pct"/>
            <w:gridSpan w:val="2"/>
            <w:shd w:val="clear" w:color="auto" w:fill="auto"/>
            <w:vAlign w:val="center"/>
          </w:tcPr>
          <w:p w14:paraId="07EA302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23" w:type="pct"/>
            <w:gridSpan w:val="2"/>
            <w:shd w:val="clear" w:color="auto" w:fill="auto"/>
            <w:vAlign w:val="center"/>
          </w:tcPr>
          <w:p w14:paraId="3E4725E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400" w:type="pct"/>
            <w:shd w:val="clear" w:color="auto" w:fill="auto"/>
            <w:vAlign w:val="center"/>
          </w:tcPr>
          <w:p w14:paraId="4A8717C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723830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481" w:type="pct"/>
            <w:gridSpan w:val="2"/>
            <w:vMerge w:val="continue"/>
            <w:vAlign w:val="center"/>
          </w:tcPr>
          <w:p w14:paraId="28DE450A">
            <w:pPr>
              <w:widowControl/>
              <w:jc w:val="left"/>
              <w:rPr>
                <w:rFonts w:hint="eastAsia" w:ascii="宋体" w:hAnsi="宋体" w:cs="宋体"/>
                <w:color w:val="000000"/>
                <w:kern w:val="0"/>
                <w:sz w:val="20"/>
                <w:szCs w:val="20"/>
              </w:rPr>
            </w:pPr>
          </w:p>
        </w:tc>
        <w:tc>
          <w:tcPr>
            <w:tcW w:w="702" w:type="pct"/>
            <w:gridSpan w:val="2"/>
            <w:shd w:val="clear" w:color="auto" w:fill="auto"/>
            <w:vAlign w:val="center"/>
          </w:tcPr>
          <w:p w14:paraId="720B4B6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961" w:type="pct"/>
            <w:gridSpan w:val="2"/>
            <w:shd w:val="clear" w:color="auto" w:fill="auto"/>
            <w:vAlign w:val="center"/>
          </w:tcPr>
          <w:p w14:paraId="36578B4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12.54 </w:t>
            </w:r>
          </w:p>
        </w:tc>
        <w:tc>
          <w:tcPr>
            <w:tcW w:w="750" w:type="pct"/>
            <w:shd w:val="clear" w:color="auto" w:fill="auto"/>
            <w:vAlign w:val="center"/>
          </w:tcPr>
          <w:p w14:paraId="5787D25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12.54 </w:t>
            </w:r>
          </w:p>
        </w:tc>
        <w:tc>
          <w:tcPr>
            <w:tcW w:w="748" w:type="pct"/>
            <w:gridSpan w:val="2"/>
            <w:shd w:val="clear" w:color="auto" w:fill="auto"/>
            <w:vAlign w:val="center"/>
          </w:tcPr>
          <w:p w14:paraId="109CB3B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12.54 </w:t>
            </w:r>
          </w:p>
        </w:tc>
        <w:tc>
          <w:tcPr>
            <w:tcW w:w="430" w:type="pct"/>
            <w:gridSpan w:val="2"/>
            <w:shd w:val="clear" w:color="auto" w:fill="auto"/>
            <w:vAlign w:val="center"/>
          </w:tcPr>
          <w:p w14:paraId="66A6323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23" w:type="pct"/>
            <w:gridSpan w:val="2"/>
            <w:shd w:val="clear" w:color="auto" w:fill="auto"/>
            <w:vAlign w:val="center"/>
          </w:tcPr>
          <w:p w14:paraId="10E23D0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00" w:type="pct"/>
            <w:shd w:val="clear" w:color="auto" w:fill="auto"/>
            <w:vAlign w:val="center"/>
          </w:tcPr>
          <w:p w14:paraId="524D155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1BFB8A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481" w:type="pct"/>
            <w:gridSpan w:val="2"/>
            <w:vMerge w:val="continue"/>
            <w:vAlign w:val="center"/>
          </w:tcPr>
          <w:p w14:paraId="709C0C93">
            <w:pPr>
              <w:widowControl/>
              <w:jc w:val="left"/>
              <w:rPr>
                <w:rFonts w:hint="eastAsia" w:ascii="宋体" w:hAnsi="宋体" w:cs="宋体"/>
                <w:color w:val="000000"/>
                <w:kern w:val="0"/>
                <w:sz w:val="20"/>
                <w:szCs w:val="20"/>
              </w:rPr>
            </w:pPr>
          </w:p>
        </w:tc>
        <w:tc>
          <w:tcPr>
            <w:tcW w:w="702" w:type="pct"/>
            <w:gridSpan w:val="2"/>
            <w:shd w:val="clear" w:color="auto" w:fill="auto"/>
            <w:vAlign w:val="center"/>
          </w:tcPr>
          <w:p w14:paraId="2D9B5D76">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 xml:space="preserve">  其他资金</w:t>
            </w:r>
          </w:p>
        </w:tc>
        <w:tc>
          <w:tcPr>
            <w:tcW w:w="961" w:type="pct"/>
            <w:gridSpan w:val="2"/>
            <w:shd w:val="clear" w:color="auto" w:fill="auto"/>
            <w:vAlign w:val="center"/>
          </w:tcPr>
          <w:p w14:paraId="3C5D4DA9">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750" w:type="pct"/>
            <w:shd w:val="clear" w:color="auto" w:fill="auto"/>
            <w:vAlign w:val="center"/>
          </w:tcPr>
          <w:p w14:paraId="62792568">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748" w:type="pct"/>
            <w:gridSpan w:val="2"/>
            <w:shd w:val="clear" w:color="auto" w:fill="auto"/>
            <w:vAlign w:val="center"/>
          </w:tcPr>
          <w:p w14:paraId="5C9CFEE4">
            <w:pPr>
              <w:widowControl/>
              <w:jc w:val="center"/>
              <w:rPr>
                <w:rFonts w:hint="eastAsia" w:cs="宋体" w:asciiTheme="minorEastAsia" w:hAnsiTheme="minorEastAsia"/>
                <w:color w:val="000000"/>
                <w:kern w:val="0"/>
                <w:sz w:val="20"/>
                <w:szCs w:val="20"/>
              </w:rPr>
            </w:pPr>
            <w:r>
              <w:rPr>
                <w:rFonts w:hint="eastAsia" w:cs="宋体" w:asciiTheme="minorEastAsia" w:hAnsiTheme="minorEastAsia"/>
                <w:color w:val="000000"/>
                <w:kern w:val="0"/>
                <w:sz w:val="20"/>
                <w:szCs w:val="20"/>
              </w:rPr>
              <w:t>0</w:t>
            </w:r>
            <w:r>
              <w:rPr>
                <w:rFonts w:cs="宋体" w:asciiTheme="minorEastAsia" w:hAnsiTheme="minorEastAsia"/>
                <w:color w:val="000000"/>
                <w:kern w:val="0"/>
                <w:sz w:val="20"/>
                <w:szCs w:val="20"/>
              </w:rPr>
              <w:t>.00</w:t>
            </w:r>
          </w:p>
        </w:tc>
        <w:tc>
          <w:tcPr>
            <w:tcW w:w="430" w:type="pct"/>
            <w:gridSpan w:val="2"/>
            <w:shd w:val="clear" w:color="auto" w:fill="auto"/>
            <w:vAlign w:val="center"/>
          </w:tcPr>
          <w:p w14:paraId="0DEB513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23" w:type="pct"/>
            <w:gridSpan w:val="2"/>
            <w:shd w:val="clear" w:color="auto" w:fill="auto"/>
            <w:vAlign w:val="center"/>
          </w:tcPr>
          <w:p w14:paraId="1796688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00" w:type="pct"/>
            <w:shd w:val="clear" w:color="auto" w:fill="auto"/>
            <w:vAlign w:val="center"/>
          </w:tcPr>
          <w:p w14:paraId="003568A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09EB41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239" w:type="pct"/>
            <w:vMerge w:val="restart"/>
            <w:shd w:val="clear" w:color="auto" w:fill="auto"/>
            <w:vAlign w:val="center"/>
          </w:tcPr>
          <w:p w14:paraId="1C00426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2656" w:type="pct"/>
            <w:gridSpan w:val="6"/>
            <w:shd w:val="clear" w:color="auto" w:fill="auto"/>
            <w:vAlign w:val="center"/>
          </w:tcPr>
          <w:p w14:paraId="5100748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2103" w:type="pct"/>
            <w:gridSpan w:val="7"/>
            <w:shd w:val="clear" w:color="auto" w:fill="auto"/>
            <w:vAlign w:val="center"/>
          </w:tcPr>
          <w:p w14:paraId="1984778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301F1F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239" w:type="pct"/>
            <w:vMerge w:val="continue"/>
            <w:vAlign w:val="center"/>
          </w:tcPr>
          <w:p w14:paraId="21464150">
            <w:pPr>
              <w:widowControl/>
              <w:jc w:val="left"/>
              <w:rPr>
                <w:rFonts w:hint="eastAsia" w:ascii="宋体" w:hAnsi="宋体" w:cs="宋体"/>
                <w:color w:val="000000"/>
                <w:kern w:val="0"/>
                <w:sz w:val="20"/>
                <w:szCs w:val="20"/>
              </w:rPr>
            </w:pPr>
          </w:p>
        </w:tc>
        <w:tc>
          <w:tcPr>
            <w:tcW w:w="2656" w:type="pct"/>
            <w:gridSpan w:val="6"/>
            <w:shd w:val="clear" w:color="auto" w:fill="auto"/>
          </w:tcPr>
          <w:p w14:paraId="1F44566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认真落实区州县党委、人民政府深化驻村工作的部署要求，切实做好经费保障，确保驻村（社区）工作正常开展</w:t>
            </w:r>
          </w:p>
        </w:tc>
        <w:tc>
          <w:tcPr>
            <w:tcW w:w="2103" w:type="pct"/>
            <w:gridSpan w:val="7"/>
            <w:shd w:val="clear" w:color="auto" w:fill="auto"/>
          </w:tcPr>
          <w:p w14:paraId="1BB2A98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至项目自评，我单位已完成如下工作：驻村干部人数5人，工作队为民办实事好事件数5件，为民办实事好事完成率均达到100%。认真落实区州县党委、人民政府深化驻村工作的部署要求，切实做好经费保障，确保驻村（社区）工作正常开展。</w:t>
            </w:r>
          </w:p>
        </w:tc>
      </w:tr>
      <w:tr w14:paraId="1130CC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239" w:type="pct"/>
            <w:vMerge w:val="restart"/>
            <w:shd w:val="clear" w:color="auto" w:fill="auto"/>
            <w:vAlign w:val="center"/>
          </w:tcPr>
          <w:p w14:paraId="3501873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41" w:type="pct"/>
            <w:vMerge w:val="restart"/>
            <w:shd w:val="clear" w:color="auto" w:fill="auto"/>
            <w:vAlign w:val="center"/>
          </w:tcPr>
          <w:p w14:paraId="16AD67E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420" w:type="pct"/>
            <w:vMerge w:val="restart"/>
            <w:shd w:val="clear" w:color="auto" w:fill="auto"/>
            <w:vAlign w:val="center"/>
          </w:tcPr>
          <w:p w14:paraId="1577ECB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995" w:type="pct"/>
            <w:gridSpan w:val="2"/>
            <w:vMerge w:val="restart"/>
            <w:shd w:val="clear" w:color="auto" w:fill="auto"/>
            <w:vAlign w:val="center"/>
          </w:tcPr>
          <w:p w14:paraId="34C14CF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999" w:type="pct"/>
            <w:gridSpan w:val="2"/>
            <w:vMerge w:val="restart"/>
            <w:shd w:val="clear" w:color="auto" w:fill="auto"/>
            <w:vAlign w:val="center"/>
          </w:tcPr>
          <w:p w14:paraId="76B1D4A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725" w:type="pct"/>
            <w:vMerge w:val="restart"/>
            <w:shd w:val="clear" w:color="auto" w:fill="auto"/>
            <w:vAlign w:val="center"/>
          </w:tcPr>
          <w:p w14:paraId="1F37E45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299" w:type="pct"/>
            <w:gridSpan w:val="2"/>
            <w:vMerge w:val="restart"/>
            <w:shd w:val="clear" w:color="auto" w:fill="auto"/>
            <w:vAlign w:val="center"/>
          </w:tcPr>
          <w:p w14:paraId="3E40613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383" w:type="pct"/>
            <w:gridSpan w:val="2"/>
            <w:vMerge w:val="restart"/>
            <w:shd w:val="clear" w:color="auto" w:fill="auto"/>
            <w:vAlign w:val="center"/>
          </w:tcPr>
          <w:p w14:paraId="46DEFD0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694" w:type="pct"/>
            <w:gridSpan w:val="2"/>
            <w:vMerge w:val="restart"/>
            <w:shd w:val="clear" w:color="auto" w:fill="auto"/>
            <w:vAlign w:val="center"/>
          </w:tcPr>
          <w:p w14:paraId="739E0B9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3C6FEE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239" w:type="pct"/>
            <w:vMerge w:val="continue"/>
            <w:vAlign w:val="center"/>
          </w:tcPr>
          <w:p w14:paraId="181A4B11">
            <w:pPr>
              <w:widowControl/>
              <w:jc w:val="left"/>
              <w:rPr>
                <w:rFonts w:hint="eastAsia" w:ascii="宋体" w:hAnsi="宋体" w:cs="宋体"/>
                <w:color w:val="000000"/>
                <w:kern w:val="0"/>
                <w:sz w:val="20"/>
                <w:szCs w:val="20"/>
              </w:rPr>
            </w:pPr>
          </w:p>
        </w:tc>
        <w:tc>
          <w:tcPr>
            <w:tcW w:w="241" w:type="pct"/>
            <w:vMerge w:val="continue"/>
            <w:vAlign w:val="center"/>
          </w:tcPr>
          <w:p w14:paraId="43BE7B48">
            <w:pPr>
              <w:widowControl/>
              <w:jc w:val="left"/>
              <w:rPr>
                <w:rFonts w:hint="eastAsia" w:ascii="宋体" w:hAnsi="宋体" w:cs="宋体"/>
                <w:color w:val="000000"/>
                <w:kern w:val="0"/>
                <w:sz w:val="20"/>
                <w:szCs w:val="20"/>
              </w:rPr>
            </w:pPr>
          </w:p>
        </w:tc>
        <w:tc>
          <w:tcPr>
            <w:tcW w:w="420" w:type="pct"/>
            <w:vMerge w:val="continue"/>
            <w:vAlign w:val="center"/>
          </w:tcPr>
          <w:p w14:paraId="7D8C4428">
            <w:pPr>
              <w:widowControl/>
              <w:jc w:val="left"/>
              <w:rPr>
                <w:rFonts w:hint="eastAsia" w:ascii="宋体" w:hAnsi="宋体" w:cs="宋体"/>
                <w:color w:val="000000"/>
                <w:kern w:val="0"/>
                <w:sz w:val="20"/>
                <w:szCs w:val="20"/>
              </w:rPr>
            </w:pPr>
          </w:p>
        </w:tc>
        <w:tc>
          <w:tcPr>
            <w:tcW w:w="995" w:type="pct"/>
            <w:gridSpan w:val="2"/>
            <w:vMerge w:val="continue"/>
            <w:vAlign w:val="center"/>
          </w:tcPr>
          <w:p w14:paraId="091FABEB">
            <w:pPr>
              <w:widowControl/>
              <w:jc w:val="left"/>
              <w:rPr>
                <w:rFonts w:hint="eastAsia" w:ascii="宋体" w:hAnsi="宋体" w:cs="宋体"/>
                <w:color w:val="000000"/>
                <w:kern w:val="0"/>
                <w:sz w:val="20"/>
                <w:szCs w:val="20"/>
              </w:rPr>
            </w:pPr>
          </w:p>
        </w:tc>
        <w:tc>
          <w:tcPr>
            <w:tcW w:w="999" w:type="pct"/>
            <w:gridSpan w:val="2"/>
            <w:vMerge w:val="continue"/>
            <w:vAlign w:val="center"/>
          </w:tcPr>
          <w:p w14:paraId="1F1313BD">
            <w:pPr>
              <w:widowControl/>
              <w:jc w:val="left"/>
              <w:rPr>
                <w:rFonts w:hint="eastAsia" w:ascii="宋体" w:hAnsi="宋体" w:cs="宋体"/>
                <w:color w:val="000000"/>
                <w:kern w:val="0"/>
                <w:sz w:val="20"/>
                <w:szCs w:val="20"/>
              </w:rPr>
            </w:pPr>
          </w:p>
        </w:tc>
        <w:tc>
          <w:tcPr>
            <w:tcW w:w="725" w:type="pct"/>
            <w:vMerge w:val="continue"/>
            <w:vAlign w:val="center"/>
          </w:tcPr>
          <w:p w14:paraId="39E90A6F">
            <w:pPr>
              <w:widowControl/>
              <w:jc w:val="left"/>
              <w:rPr>
                <w:rFonts w:hint="eastAsia" w:ascii="宋体" w:hAnsi="宋体" w:cs="宋体"/>
                <w:color w:val="000000"/>
                <w:kern w:val="0"/>
                <w:sz w:val="20"/>
                <w:szCs w:val="20"/>
              </w:rPr>
            </w:pPr>
          </w:p>
        </w:tc>
        <w:tc>
          <w:tcPr>
            <w:tcW w:w="299" w:type="pct"/>
            <w:gridSpan w:val="2"/>
            <w:vMerge w:val="continue"/>
            <w:vAlign w:val="center"/>
          </w:tcPr>
          <w:p w14:paraId="3C4216D2">
            <w:pPr>
              <w:widowControl/>
              <w:jc w:val="left"/>
              <w:rPr>
                <w:rFonts w:hint="eastAsia" w:ascii="宋体" w:hAnsi="宋体" w:cs="宋体"/>
                <w:color w:val="000000"/>
                <w:kern w:val="0"/>
                <w:sz w:val="20"/>
                <w:szCs w:val="20"/>
              </w:rPr>
            </w:pPr>
          </w:p>
        </w:tc>
        <w:tc>
          <w:tcPr>
            <w:tcW w:w="383" w:type="pct"/>
            <w:gridSpan w:val="2"/>
            <w:vMerge w:val="continue"/>
            <w:vAlign w:val="center"/>
          </w:tcPr>
          <w:p w14:paraId="4E724F9A">
            <w:pPr>
              <w:widowControl/>
              <w:jc w:val="left"/>
              <w:rPr>
                <w:rFonts w:hint="eastAsia" w:ascii="宋体" w:hAnsi="宋体" w:cs="宋体"/>
                <w:color w:val="000000"/>
                <w:kern w:val="0"/>
                <w:sz w:val="20"/>
                <w:szCs w:val="20"/>
              </w:rPr>
            </w:pPr>
          </w:p>
        </w:tc>
        <w:tc>
          <w:tcPr>
            <w:tcW w:w="694" w:type="pct"/>
            <w:gridSpan w:val="2"/>
            <w:vMerge w:val="continue"/>
            <w:vAlign w:val="center"/>
          </w:tcPr>
          <w:p w14:paraId="1264B492">
            <w:pPr>
              <w:widowControl/>
              <w:jc w:val="left"/>
              <w:rPr>
                <w:rFonts w:hint="eastAsia" w:ascii="宋体" w:hAnsi="宋体" w:cs="宋体"/>
                <w:color w:val="000000"/>
                <w:kern w:val="0"/>
                <w:sz w:val="20"/>
                <w:szCs w:val="20"/>
              </w:rPr>
            </w:pPr>
          </w:p>
        </w:tc>
      </w:tr>
      <w:tr w14:paraId="7C2847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39" w:type="pct"/>
            <w:vMerge w:val="restart"/>
            <w:shd w:val="clear" w:color="auto" w:fill="auto"/>
            <w:vAlign w:val="center"/>
          </w:tcPr>
          <w:p w14:paraId="2D1F62D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241" w:type="pct"/>
            <w:vMerge w:val="restart"/>
            <w:shd w:val="clear" w:color="auto" w:fill="auto"/>
            <w:vAlign w:val="center"/>
          </w:tcPr>
          <w:p w14:paraId="281F1D0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420" w:type="pct"/>
            <w:shd w:val="clear" w:color="auto" w:fill="auto"/>
            <w:vAlign w:val="center"/>
          </w:tcPr>
          <w:p w14:paraId="4CAA8B3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995" w:type="pct"/>
            <w:gridSpan w:val="2"/>
            <w:shd w:val="clear" w:color="auto" w:fill="auto"/>
            <w:noWrap/>
            <w:vAlign w:val="center"/>
          </w:tcPr>
          <w:p w14:paraId="45AB6A6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驻村干部人数</w:t>
            </w:r>
          </w:p>
        </w:tc>
        <w:tc>
          <w:tcPr>
            <w:tcW w:w="999" w:type="pct"/>
            <w:gridSpan w:val="2"/>
            <w:shd w:val="clear" w:color="auto" w:fill="auto"/>
            <w:vAlign w:val="center"/>
          </w:tcPr>
          <w:p w14:paraId="5C1D34A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&gt;=5人</w:t>
            </w:r>
          </w:p>
        </w:tc>
        <w:tc>
          <w:tcPr>
            <w:tcW w:w="725" w:type="pct"/>
            <w:shd w:val="clear" w:color="auto" w:fill="auto"/>
            <w:vAlign w:val="center"/>
          </w:tcPr>
          <w:p w14:paraId="6779B89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=5人</w:t>
            </w:r>
          </w:p>
        </w:tc>
        <w:tc>
          <w:tcPr>
            <w:tcW w:w="299" w:type="pct"/>
            <w:gridSpan w:val="2"/>
            <w:shd w:val="clear" w:color="auto" w:fill="auto"/>
            <w:vAlign w:val="center"/>
          </w:tcPr>
          <w:p w14:paraId="43AB757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83" w:type="pct"/>
            <w:gridSpan w:val="2"/>
            <w:shd w:val="clear" w:color="auto" w:fill="auto"/>
            <w:vAlign w:val="center"/>
          </w:tcPr>
          <w:p w14:paraId="23C60C5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94" w:type="pct"/>
            <w:gridSpan w:val="2"/>
            <w:shd w:val="clear" w:color="auto" w:fill="auto"/>
            <w:vAlign w:val="center"/>
          </w:tcPr>
          <w:p w14:paraId="7FD3D1E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3457B4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39" w:type="pct"/>
            <w:vMerge w:val="continue"/>
            <w:vAlign w:val="center"/>
          </w:tcPr>
          <w:p w14:paraId="303ECB3C">
            <w:pPr>
              <w:widowControl/>
              <w:jc w:val="left"/>
              <w:rPr>
                <w:rFonts w:hint="eastAsia" w:ascii="宋体" w:hAnsi="宋体" w:cs="宋体"/>
                <w:color w:val="000000"/>
                <w:kern w:val="0"/>
                <w:sz w:val="20"/>
                <w:szCs w:val="20"/>
              </w:rPr>
            </w:pPr>
          </w:p>
        </w:tc>
        <w:tc>
          <w:tcPr>
            <w:tcW w:w="241" w:type="pct"/>
            <w:vMerge w:val="continue"/>
            <w:vAlign w:val="center"/>
          </w:tcPr>
          <w:p w14:paraId="74078074">
            <w:pPr>
              <w:widowControl/>
              <w:jc w:val="left"/>
              <w:rPr>
                <w:rFonts w:hint="eastAsia" w:ascii="宋体" w:hAnsi="宋体" w:cs="宋体"/>
                <w:color w:val="000000"/>
                <w:kern w:val="0"/>
                <w:sz w:val="20"/>
                <w:szCs w:val="20"/>
              </w:rPr>
            </w:pPr>
          </w:p>
        </w:tc>
        <w:tc>
          <w:tcPr>
            <w:tcW w:w="420" w:type="pct"/>
            <w:shd w:val="clear" w:color="auto" w:fill="auto"/>
            <w:vAlign w:val="center"/>
          </w:tcPr>
          <w:p w14:paraId="5ED7E32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995" w:type="pct"/>
            <w:gridSpan w:val="2"/>
            <w:shd w:val="clear" w:color="auto" w:fill="auto"/>
            <w:noWrap/>
            <w:vAlign w:val="center"/>
          </w:tcPr>
          <w:p w14:paraId="1B32BA5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工作队为民办实事好事件数</w:t>
            </w:r>
          </w:p>
        </w:tc>
        <w:tc>
          <w:tcPr>
            <w:tcW w:w="999" w:type="pct"/>
            <w:gridSpan w:val="2"/>
            <w:shd w:val="clear" w:color="auto" w:fill="auto"/>
            <w:vAlign w:val="center"/>
          </w:tcPr>
          <w:p w14:paraId="0424888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&gt;=4件</w:t>
            </w:r>
          </w:p>
        </w:tc>
        <w:tc>
          <w:tcPr>
            <w:tcW w:w="725" w:type="pct"/>
            <w:shd w:val="clear" w:color="auto" w:fill="auto"/>
            <w:vAlign w:val="center"/>
          </w:tcPr>
          <w:p w14:paraId="0895AD5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=5件</w:t>
            </w:r>
          </w:p>
        </w:tc>
        <w:tc>
          <w:tcPr>
            <w:tcW w:w="299" w:type="pct"/>
            <w:gridSpan w:val="2"/>
            <w:shd w:val="clear" w:color="auto" w:fill="auto"/>
            <w:vAlign w:val="center"/>
          </w:tcPr>
          <w:p w14:paraId="7127620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83" w:type="pct"/>
            <w:gridSpan w:val="2"/>
            <w:shd w:val="clear" w:color="auto" w:fill="auto"/>
            <w:vAlign w:val="center"/>
          </w:tcPr>
          <w:p w14:paraId="0EE7AF3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7.5</w:t>
            </w:r>
          </w:p>
        </w:tc>
        <w:tc>
          <w:tcPr>
            <w:tcW w:w="694" w:type="pct"/>
            <w:gridSpan w:val="2"/>
            <w:shd w:val="clear" w:color="auto" w:fill="auto"/>
            <w:vAlign w:val="center"/>
          </w:tcPr>
          <w:p w14:paraId="69386A6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办好事数量增加，年初无法精确预估。</w:t>
            </w:r>
          </w:p>
        </w:tc>
      </w:tr>
      <w:tr w14:paraId="60B726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39" w:type="pct"/>
            <w:vMerge w:val="continue"/>
            <w:vAlign w:val="center"/>
          </w:tcPr>
          <w:p w14:paraId="23C60148">
            <w:pPr>
              <w:widowControl/>
              <w:jc w:val="left"/>
              <w:rPr>
                <w:rFonts w:hint="eastAsia" w:ascii="宋体" w:hAnsi="宋体" w:cs="宋体"/>
                <w:color w:val="000000"/>
                <w:kern w:val="0"/>
                <w:sz w:val="20"/>
                <w:szCs w:val="20"/>
              </w:rPr>
            </w:pPr>
          </w:p>
        </w:tc>
        <w:tc>
          <w:tcPr>
            <w:tcW w:w="241" w:type="pct"/>
            <w:vMerge w:val="continue"/>
            <w:vAlign w:val="center"/>
          </w:tcPr>
          <w:p w14:paraId="7E2BFEAB">
            <w:pPr>
              <w:widowControl/>
              <w:jc w:val="left"/>
              <w:rPr>
                <w:rFonts w:hint="eastAsia" w:ascii="宋体" w:hAnsi="宋体" w:cs="宋体"/>
                <w:color w:val="000000"/>
                <w:kern w:val="0"/>
                <w:sz w:val="20"/>
                <w:szCs w:val="20"/>
              </w:rPr>
            </w:pPr>
          </w:p>
        </w:tc>
        <w:tc>
          <w:tcPr>
            <w:tcW w:w="420" w:type="pct"/>
            <w:shd w:val="clear" w:color="auto" w:fill="auto"/>
            <w:vAlign w:val="center"/>
          </w:tcPr>
          <w:p w14:paraId="78D5EC5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995" w:type="pct"/>
            <w:gridSpan w:val="2"/>
            <w:shd w:val="clear" w:color="auto" w:fill="auto"/>
            <w:noWrap/>
            <w:vAlign w:val="center"/>
          </w:tcPr>
          <w:p w14:paraId="41D7C58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为民办实事好事工作开支保障率</w:t>
            </w:r>
          </w:p>
        </w:tc>
        <w:tc>
          <w:tcPr>
            <w:tcW w:w="999" w:type="pct"/>
            <w:gridSpan w:val="2"/>
            <w:shd w:val="clear" w:color="auto" w:fill="auto"/>
            <w:vAlign w:val="center"/>
          </w:tcPr>
          <w:p w14:paraId="0DC2A23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25" w:type="pct"/>
            <w:shd w:val="clear" w:color="auto" w:fill="auto"/>
            <w:vAlign w:val="center"/>
          </w:tcPr>
          <w:p w14:paraId="7ED6ED3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299" w:type="pct"/>
            <w:gridSpan w:val="2"/>
            <w:shd w:val="clear" w:color="auto" w:fill="auto"/>
            <w:vAlign w:val="center"/>
          </w:tcPr>
          <w:p w14:paraId="1656C51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383" w:type="pct"/>
            <w:gridSpan w:val="2"/>
            <w:shd w:val="clear" w:color="auto" w:fill="auto"/>
            <w:vAlign w:val="center"/>
          </w:tcPr>
          <w:p w14:paraId="19D3340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694" w:type="pct"/>
            <w:gridSpan w:val="2"/>
            <w:shd w:val="clear" w:color="auto" w:fill="auto"/>
            <w:vAlign w:val="center"/>
          </w:tcPr>
          <w:p w14:paraId="567EFCD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5C176D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39" w:type="pct"/>
            <w:vMerge w:val="continue"/>
            <w:vAlign w:val="center"/>
          </w:tcPr>
          <w:p w14:paraId="6D3A33BA">
            <w:pPr>
              <w:widowControl/>
              <w:jc w:val="left"/>
              <w:rPr>
                <w:rFonts w:hint="eastAsia" w:ascii="宋体" w:hAnsi="宋体" w:cs="宋体"/>
                <w:color w:val="000000"/>
                <w:kern w:val="0"/>
                <w:sz w:val="20"/>
                <w:szCs w:val="20"/>
              </w:rPr>
            </w:pPr>
          </w:p>
        </w:tc>
        <w:tc>
          <w:tcPr>
            <w:tcW w:w="241" w:type="pct"/>
            <w:vMerge w:val="continue"/>
            <w:vAlign w:val="center"/>
          </w:tcPr>
          <w:p w14:paraId="6CDF6353">
            <w:pPr>
              <w:widowControl/>
              <w:jc w:val="left"/>
              <w:rPr>
                <w:rFonts w:hint="eastAsia" w:ascii="宋体" w:hAnsi="宋体" w:cs="宋体"/>
                <w:color w:val="000000"/>
                <w:kern w:val="0"/>
                <w:sz w:val="20"/>
                <w:szCs w:val="20"/>
              </w:rPr>
            </w:pPr>
          </w:p>
        </w:tc>
        <w:tc>
          <w:tcPr>
            <w:tcW w:w="420" w:type="pct"/>
            <w:shd w:val="clear" w:color="auto" w:fill="auto"/>
            <w:vAlign w:val="center"/>
          </w:tcPr>
          <w:p w14:paraId="50F251A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995" w:type="pct"/>
            <w:gridSpan w:val="2"/>
            <w:shd w:val="clear" w:color="auto" w:fill="auto"/>
            <w:noWrap/>
            <w:vAlign w:val="center"/>
          </w:tcPr>
          <w:p w14:paraId="7B32454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为民办实事好事完成率</w:t>
            </w:r>
          </w:p>
        </w:tc>
        <w:tc>
          <w:tcPr>
            <w:tcW w:w="999" w:type="pct"/>
            <w:gridSpan w:val="2"/>
            <w:shd w:val="clear" w:color="auto" w:fill="auto"/>
            <w:vAlign w:val="center"/>
          </w:tcPr>
          <w:p w14:paraId="5299CDE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25" w:type="pct"/>
            <w:shd w:val="clear" w:color="auto" w:fill="auto"/>
            <w:vAlign w:val="center"/>
          </w:tcPr>
          <w:p w14:paraId="717CE77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299" w:type="pct"/>
            <w:gridSpan w:val="2"/>
            <w:shd w:val="clear" w:color="auto" w:fill="auto"/>
            <w:vAlign w:val="center"/>
          </w:tcPr>
          <w:p w14:paraId="5FC8A42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383" w:type="pct"/>
            <w:gridSpan w:val="2"/>
            <w:shd w:val="clear" w:color="auto" w:fill="auto"/>
            <w:vAlign w:val="center"/>
          </w:tcPr>
          <w:p w14:paraId="2F4F84E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694" w:type="pct"/>
            <w:gridSpan w:val="2"/>
            <w:shd w:val="clear" w:color="auto" w:fill="auto"/>
            <w:vAlign w:val="center"/>
          </w:tcPr>
          <w:p w14:paraId="18AA65F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599EF6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39" w:type="pct"/>
            <w:vMerge w:val="continue"/>
            <w:vAlign w:val="center"/>
          </w:tcPr>
          <w:p w14:paraId="09C1889E">
            <w:pPr>
              <w:widowControl/>
              <w:jc w:val="left"/>
              <w:rPr>
                <w:rFonts w:hint="eastAsia" w:ascii="宋体" w:hAnsi="宋体" w:cs="宋体"/>
                <w:color w:val="000000"/>
                <w:kern w:val="0"/>
                <w:sz w:val="20"/>
                <w:szCs w:val="20"/>
              </w:rPr>
            </w:pPr>
          </w:p>
        </w:tc>
        <w:tc>
          <w:tcPr>
            <w:tcW w:w="241" w:type="pct"/>
            <w:vMerge w:val="continue"/>
            <w:vAlign w:val="center"/>
          </w:tcPr>
          <w:p w14:paraId="60A2C6C6">
            <w:pPr>
              <w:widowControl/>
              <w:jc w:val="left"/>
              <w:rPr>
                <w:rFonts w:hint="eastAsia" w:ascii="宋体" w:hAnsi="宋体" w:cs="宋体"/>
                <w:color w:val="000000"/>
                <w:kern w:val="0"/>
                <w:sz w:val="20"/>
                <w:szCs w:val="20"/>
              </w:rPr>
            </w:pPr>
          </w:p>
        </w:tc>
        <w:tc>
          <w:tcPr>
            <w:tcW w:w="420" w:type="pct"/>
            <w:shd w:val="clear" w:color="auto" w:fill="auto"/>
            <w:vAlign w:val="center"/>
          </w:tcPr>
          <w:p w14:paraId="5FB08EA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995" w:type="pct"/>
            <w:gridSpan w:val="2"/>
            <w:shd w:val="clear" w:color="auto" w:fill="auto"/>
            <w:noWrap/>
            <w:vAlign w:val="center"/>
          </w:tcPr>
          <w:p w14:paraId="135E0FD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各项工作完成及时率</w:t>
            </w:r>
          </w:p>
        </w:tc>
        <w:tc>
          <w:tcPr>
            <w:tcW w:w="999" w:type="pct"/>
            <w:gridSpan w:val="2"/>
            <w:shd w:val="clear" w:color="auto" w:fill="auto"/>
            <w:vAlign w:val="center"/>
          </w:tcPr>
          <w:p w14:paraId="1A91624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25" w:type="pct"/>
            <w:shd w:val="clear" w:color="auto" w:fill="auto"/>
            <w:vAlign w:val="center"/>
          </w:tcPr>
          <w:p w14:paraId="5674DF3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299" w:type="pct"/>
            <w:gridSpan w:val="2"/>
            <w:shd w:val="clear" w:color="auto" w:fill="auto"/>
            <w:vAlign w:val="center"/>
          </w:tcPr>
          <w:p w14:paraId="5CA51AF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83" w:type="pct"/>
            <w:gridSpan w:val="2"/>
            <w:shd w:val="clear" w:color="auto" w:fill="auto"/>
            <w:vAlign w:val="center"/>
          </w:tcPr>
          <w:p w14:paraId="4509A1C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94" w:type="pct"/>
            <w:gridSpan w:val="2"/>
            <w:shd w:val="clear" w:color="auto" w:fill="auto"/>
            <w:vAlign w:val="center"/>
          </w:tcPr>
          <w:p w14:paraId="1D90DDF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6FE2E5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39" w:type="pct"/>
            <w:vMerge w:val="continue"/>
            <w:vAlign w:val="center"/>
          </w:tcPr>
          <w:p w14:paraId="42750CBD">
            <w:pPr>
              <w:widowControl/>
              <w:jc w:val="left"/>
              <w:rPr>
                <w:rFonts w:hint="eastAsia" w:ascii="宋体" w:hAnsi="宋体" w:cs="宋体"/>
                <w:color w:val="000000"/>
                <w:kern w:val="0"/>
                <w:sz w:val="20"/>
                <w:szCs w:val="20"/>
              </w:rPr>
            </w:pPr>
          </w:p>
        </w:tc>
        <w:tc>
          <w:tcPr>
            <w:tcW w:w="241" w:type="pct"/>
            <w:vMerge w:val="restart"/>
            <w:shd w:val="clear" w:color="auto" w:fill="auto"/>
            <w:vAlign w:val="center"/>
          </w:tcPr>
          <w:p w14:paraId="1F76928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420" w:type="pct"/>
            <w:shd w:val="clear" w:color="auto" w:fill="auto"/>
            <w:vAlign w:val="center"/>
          </w:tcPr>
          <w:p w14:paraId="22E096D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995" w:type="pct"/>
            <w:gridSpan w:val="2"/>
            <w:shd w:val="clear" w:color="auto" w:fill="auto"/>
            <w:noWrap/>
            <w:vAlign w:val="center"/>
          </w:tcPr>
          <w:p w14:paraId="1D07A6B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项目预算控制率</w:t>
            </w:r>
          </w:p>
        </w:tc>
        <w:tc>
          <w:tcPr>
            <w:tcW w:w="999" w:type="pct"/>
            <w:gridSpan w:val="2"/>
            <w:shd w:val="clear" w:color="auto" w:fill="auto"/>
            <w:vAlign w:val="center"/>
          </w:tcPr>
          <w:p w14:paraId="4993E14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&lt;=100%</w:t>
            </w:r>
          </w:p>
        </w:tc>
        <w:tc>
          <w:tcPr>
            <w:tcW w:w="725" w:type="pct"/>
            <w:shd w:val="clear" w:color="auto" w:fill="auto"/>
            <w:vAlign w:val="center"/>
          </w:tcPr>
          <w:p w14:paraId="4935FAA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299" w:type="pct"/>
            <w:gridSpan w:val="2"/>
            <w:shd w:val="clear" w:color="auto" w:fill="auto"/>
            <w:vAlign w:val="center"/>
          </w:tcPr>
          <w:p w14:paraId="36DD58F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83" w:type="pct"/>
            <w:gridSpan w:val="2"/>
            <w:shd w:val="clear" w:color="auto" w:fill="auto"/>
            <w:vAlign w:val="center"/>
          </w:tcPr>
          <w:p w14:paraId="64AAF17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94" w:type="pct"/>
            <w:gridSpan w:val="2"/>
            <w:shd w:val="clear" w:color="auto" w:fill="auto"/>
            <w:vAlign w:val="center"/>
          </w:tcPr>
          <w:p w14:paraId="0CFD639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30CE24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39" w:type="pct"/>
            <w:vMerge w:val="continue"/>
            <w:vAlign w:val="center"/>
          </w:tcPr>
          <w:p w14:paraId="6E9802E1">
            <w:pPr>
              <w:widowControl/>
              <w:jc w:val="left"/>
              <w:rPr>
                <w:rFonts w:hint="eastAsia" w:ascii="宋体" w:hAnsi="宋体" w:cs="宋体"/>
                <w:color w:val="000000"/>
                <w:kern w:val="0"/>
                <w:sz w:val="20"/>
                <w:szCs w:val="20"/>
              </w:rPr>
            </w:pPr>
          </w:p>
        </w:tc>
        <w:tc>
          <w:tcPr>
            <w:tcW w:w="241" w:type="pct"/>
            <w:vMerge w:val="continue"/>
            <w:vAlign w:val="center"/>
          </w:tcPr>
          <w:p w14:paraId="58B35E29">
            <w:pPr>
              <w:widowControl/>
              <w:jc w:val="left"/>
              <w:rPr>
                <w:rFonts w:hint="eastAsia" w:ascii="宋体" w:hAnsi="宋体" w:cs="宋体"/>
                <w:color w:val="000000"/>
                <w:kern w:val="0"/>
                <w:sz w:val="20"/>
                <w:szCs w:val="20"/>
              </w:rPr>
            </w:pPr>
          </w:p>
        </w:tc>
        <w:tc>
          <w:tcPr>
            <w:tcW w:w="420" w:type="pct"/>
            <w:shd w:val="clear" w:color="auto" w:fill="auto"/>
            <w:vAlign w:val="center"/>
          </w:tcPr>
          <w:p w14:paraId="74301E7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995" w:type="pct"/>
            <w:gridSpan w:val="2"/>
            <w:shd w:val="clear" w:color="auto" w:fill="auto"/>
            <w:noWrap/>
            <w:vAlign w:val="center"/>
          </w:tcPr>
          <w:p w14:paraId="750C9CD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村民投诉率</w:t>
            </w:r>
          </w:p>
        </w:tc>
        <w:tc>
          <w:tcPr>
            <w:tcW w:w="999" w:type="pct"/>
            <w:gridSpan w:val="2"/>
            <w:shd w:val="clear" w:color="auto" w:fill="auto"/>
            <w:vAlign w:val="center"/>
          </w:tcPr>
          <w:p w14:paraId="7FE971D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725" w:type="pct"/>
            <w:shd w:val="clear" w:color="auto" w:fill="auto"/>
            <w:vAlign w:val="center"/>
          </w:tcPr>
          <w:p w14:paraId="39C0420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299" w:type="pct"/>
            <w:gridSpan w:val="2"/>
            <w:shd w:val="clear" w:color="auto" w:fill="auto"/>
            <w:vAlign w:val="center"/>
          </w:tcPr>
          <w:p w14:paraId="1FB2F8E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83" w:type="pct"/>
            <w:gridSpan w:val="2"/>
            <w:shd w:val="clear" w:color="auto" w:fill="auto"/>
            <w:vAlign w:val="center"/>
          </w:tcPr>
          <w:p w14:paraId="3003FD1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94" w:type="pct"/>
            <w:gridSpan w:val="2"/>
            <w:shd w:val="clear" w:color="auto" w:fill="auto"/>
            <w:vAlign w:val="center"/>
          </w:tcPr>
          <w:p w14:paraId="2410BA7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03EAB5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39" w:type="pct"/>
            <w:vMerge w:val="continue"/>
            <w:vAlign w:val="center"/>
          </w:tcPr>
          <w:p w14:paraId="6F61B239">
            <w:pPr>
              <w:widowControl/>
              <w:jc w:val="left"/>
              <w:rPr>
                <w:rFonts w:hint="eastAsia" w:ascii="宋体" w:hAnsi="宋体" w:cs="宋体"/>
                <w:color w:val="000000"/>
                <w:kern w:val="0"/>
                <w:sz w:val="20"/>
                <w:szCs w:val="20"/>
              </w:rPr>
            </w:pPr>
          </w:p>
        </w:tc>
        <w:tc>
          <w:tcPr>
            <w:tcW w:w="241" w:type="pct"/>
            <w:vMerge w:val="continue"/>
            <w:vAlign w:val="center"/>
          </w:tcPr>
          <w:p w14:paraId="11FF2973">
            <w:pPr>
              <w:widowControl/>
              <w:jc w:val="left"/>
              <w:rPr>
                <w:rFonts w:hint="eastAsia" w:ascii="宋体" w:hAnsi="宋体" w:cs="宋体"/>
                <w:color w:val="000000"/>
                <w:kern w:val="0"/>
                <w:sz w:val="20"/>
                <w:szCs w:val="20"/>
              </w:rPr>
            </w:pPr>
          </w:p>
        </w:tc>
        <w:tc>
          <w:tcPr>
            <w:tcW w:w="420" w:type="pct"/>
            <w:shd w:val="clear" w:color="auto" w:fill="auto"/>
            <w:vAlign w:val="center"/>
          </w:tcPr>
          <w:p w14:paraId="04E5D44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995" w:type="pct"/>
            <w:gridSpan w:val="2"/>
            <w:shd w:val="clear" w:color="auto" w:fill="auto"/>
            <w:noWrap/>
            <w:vAlign w:val="center"/>
          </w:tcPr>
          <w:p w14:paraId="000C934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99" w:type="pct"/>
            <w:gridSpan w:val="2"/>
            <w:shd w:val="clear" w:color="auto" w:fill="auto"/>
            <w:vAlign w:val="center"/>
          </w:tcPr>
          <w:p w14:paraId="7D7B30E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25" w:type="pct"/>
            <w:shd w:val="clear" w:color="auto" w:fill="auto"/>
            <w:vAlign w:val="center"/>
          </w:tcPr>
          <w:p w14:paraId="7A1028D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99" w:type="pct"/>
            <w:gridSpan w:val="2"/>
            <w:shd w:val="clear" w:color="auto" w:fill="auto"/>
            <w:vAlign w:val="center"/>
          </w:tcPr>
          <w:p w14:paraId="58FCCC8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83" w:type="pct"/>
            <w:gridSpan w:val="2"/>
            <w:shd w:val="clear" w:color="auto" w:fill="auto"/>
            <w:vAlign w:val="center"/>
          </w:tcPr>
          <w:p w14:paraId="7540197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94" w:type="pct"/>
            <w:gridSpan w:val="2"/>
            <w:shd w:val="clear" w:color="auto" w:fill="auto"/>
            <w:vAlign w:val="center"/>
          </w:tcPr>
          <w:p w14:paraId="371D8E5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066F11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39" w:type="pct"/>
            <w:vMerge w:val="continue"/>
            <w:vAlign w:val="center"/>
          </w:tcPr>
          <w:p w14:paraId="5E31F524">
            <w:pPr>
              <w:widowControl/>
              <w:jc w:val="left"/>
              <w:rPr>
                <w:rFonts w:hint="eastAsia" w:ascii="宋体" w:hAnsi="宋体" w:cs="宋体"/>
                <w:color w:val="000000"/>
                <w:kern w:val="0"/>
                <w:sz w:val="20"/>
                <w:szCs w:val="20"/>
              </w:rPr>
            </w:pPr>
          </w:p>
        </w:tc>
        <w:tc>
          <w:tcPr>
            <w:tcW w:w="241" w:type="pct"/>
            <w:vMerge w:val="restart"/>
            <w:shd w:val="clear" w:color="auto" w:fill="auto"/>
            <w:vAlign w:val="center"/>
          </w:tcPr>
          <w:p w14:paraId="3D96525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420" w:type="pct"/>
            <w:shd w:val="clear" w:color="auto" w:fill="auto"/>
            <w:vAlign w:val="center"/>
          </w:tcPr>
          <w:p w14:paraId="4AE20C3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995" w:type="pct"/>
            <w:gridSpan w:val="2"/>
            <w:shd w:val="clear" w:color="auto" w:fill="auto"/>
            <w:noWrap/>
            <w:vAlign w:val="center"/>
          </w:tcPr>
          <w:p w14:paraId="5CFBFC7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99" w:type="pct"/>
            <w:gridSpan w:val="2"/>
            <w:shd w:val="clear" w:color="auto" w:fill="auto"/>
            <w:vAlign w:val="center"/>
          </w:tcPr>
          <w:p w14:paraId="4A12251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25" w:type="pct"/>
            <w:shd w:val="clear" w:color="auto" w:fill="auto"/>
            <w:vAlign w:val="center"/>
          </w:tcPr>
          <w:p w14:paraId="3524FF5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99" w:type="pct"/>
            <w:gridSpan w:val="2"/>
            <w:shd w:val="clear" w:color="auto" w:fill="auto"/>
            <w:vAlign w:val="center"/>
          </w:tcPr>
          <w:p w14:paraId="6764008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83" w:type="pct"/>
            <w:gridSpan w:val="2"/>
            <w:shd w:val="clear" w:color="auto" w:fill="auto"/>
            <w:vAlign w:val="center"/>
          </w:tcPr>
          <w:p w14:paraId="0275DC3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94" w:type="pct"/>
            <w:gridSpan w:val="2"/>
            <w:shd w:val="clear" w:color="auto" w:fill="auto"/>
            <w:vAlign w:val="center"/>
          </w:tcPr>
          <w:p w14:paraId="7E8D1BC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6A5366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39" w:type="pct"/>
            <w:vMerge w:val="continue"/>
            <w:vAlign w:val="center"/>
          </w:tcPr>
          <w:p w14:paraId="6DFEA660">
            <w:pPr>
              <w:widowControl/>
              <w:jc w:val="left"/>
              <w:rPr>
                <w:rFonts w:hint="eastAsia" w:ascii="宋体" w:hAnsi="宋体" w:cs="宋体"/>
                <w:color w:val="000000"/>
                <w:kern w:val="0"/>
                <w:sz w:val="20"/>
                <w:szCs w:val="20"/>
              </w:rPr>
            </w:pPr>
          </w:p>
        </w:tc>
        <w:tc>
          <w:tcPr>
            <w:tcW w:w="241" w:type="pct"/>
            <w:vMerge w:val="continue"/>
            <w:vAlign w:val="center"/>
          </w:tcPr>
          <w:p w14:paraId="5D419308">
            <w:pPr>
              <w:widowControl/>
              <w:jc w:val="left"/>
              <w:rPr>
                <w:rFonts w:hint="eastAsia" w:ascii="宋体" w:hAnsi="宋体" w:cs="宋体"/>
                <w:color w:val="000000"/>
                <w:kern w:val="0"/>
                <w:sz w:val="20"/>
                <w:szCs w:val="20"/>
              </w:rPr>
            </w:pPr>
          </w:p>
        </w:tc>
        <w:tc>
          <w:tcPr>
            <w:tcW w:w="420" w:type="pct"/>
            <w:shd w:val="clear" w:color="auto" w:fill="auto"/>
            <w:vAlign w:val="center"/>
          </w:tcPr>
          <w:p w14:paraId="37B271F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995" w:type="pct"/>
            <w:gridSpan w:val="2"/>
            <w:shd w:val="clear" w:color="auto" w:fill="auto"/>
            <w:noWrap/>
            <w:vAlign w:val="center"/>
          </w:tcPr>
          <w:p w14:paraId="53CA3B2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受益居民户数</w:t>
            </w:r>
          </w:p>
        </w:tc>
        <w:tc>
          <w:tcPr>
            <w:tcW w:w="999" w:type="pct"/>
            <w:gridSpan w:val="2"/>
            <w:shd w:val="clear" w:color="auto" w:fill="auto"/>
            <w:vAlign w:val="center"/>
          </w:tcPr>
          <w:p w14:paraId="104C837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&gt;=30户</w:t>
            </w:r>
          </w:p>
        </w:tc>
        <w:tc>
          <w:tcPr>
            <w:tcW w:w="725" w:type="pct"/>
            <w:shd w:val="clear" w:color="auto" w:fill="auto"/>
            <w:vAlign w:val="center"/>
          </w:tcPr>
          <w:p w14:paraId="625C317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=35户</w:t>
            </w:r>
          </w:p>
        </w:tc>
        <w:tc>
          <w:tcPr>
            <w:tcW w:w="299" w:type="pct"/>
            <w:gridSpan w:val="2"/>
            <w:shd w:val="clear" w:color="auto" w:fill="auto"/>
            <w:vAlign w:val="center"/>
          </w:tcPr>
          <w:p w14:paraId="05E275C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383" w:type="pct"/>
            <w:gridSpan w:val="2"/>
            <w:shd w:val="clear" w:color="auto" w:fill="auto"/>
            <w:vAlign w:val="center"/>
          </w:tcPr>
          <w:p w14:paraId="5BCD1B1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16.8</w:t>
            </w:r>
          </w:p>
        </w:tc>
        <w:tc>
          <w:tcPr>
            <w:tcW w:w="694" w:type="pct"/>
            <w:gridSpan w:val="2"/>
            <w:shd w:val="clear" w:color="auto" w:fill="auto"/>
            <w:vAlign w:val="center"/>
          </w:tcPr>
          <w:p w14:paraId="6694823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流动人口较大，迁移人口较多。</w:t>
            </w:r>
          </w:p>
        </w:tc>
      </w:tr>
      <w:tr w14:paraId="27C435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39" w:type="pct"/>
            <w:vMerge w:val="continue"/>
            <w:vAlign w:val="center"/>
          </w:tcPr>
          <w:p w14:paraId="1CA02C66">
            <w:pPr>
              <w:widowControl/>
              <w:jc w:val="left"/>
              <w:rPr>
                <w:rFonts w:hint="eastAsia" w:ascii="宋体" w:hAnsi="宋体" w:cs="宋体"/>
                <w:color w:val="000000"/>
                <w:kern w:val="0"/>
                <w:sz w:val="20"/>
                <w:szCs w:val="20"/>
              </w:rPr>
            </w:pPr>
          </w:p>
        </w:tc>
        <w:tc>
          <w:tcPr>
            <w:tcW w:w="241" w:type="pct"/>
            <w:vMerge w:val="continue"/>
            <w:vAlign w:val="center"/>
          </w:tcPr>
          <w:p w14:paraId="47D41587">
            <w:pPr>
              <w:widowControl/>
              <w:jc w:val="left"/>
              <w:rPr>
                <w:rFonts w:hint="eastAsia" w:ascii="宋体" w:hAnsi="宋体" w:cs="宋体"/>
                <w:color w:val="000000"/>
                <w:kern w:val="0"/>
                <w:sz w:val="20"/>
                <w:szCs w:val="20"/>
              </w:rPr>
            </w:pPr>
          </w:p>
        </w:tc>
        <w:tc>
          <w:tcPr>
            <w:tcW w:w="420" w:type="pct"/>
            <w:shd w:val="clear" w:color="auto" w:fill="auto"/>
            <w:vAlign w:val="center"/>
          </w:tcPr>
          <w:p w14:paraId="2E4AB90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995" w:type="pct"/>
            <w:gridSpan w:val="2"/>
            <w:shd w:val="clear" w:color="auto" w:fill="auto"/>
            <w:noWrap/>
            <w:vAlign w:val="center"/>
          </w:tcPr>
          <w:p w14:paraId="03A92B5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99" w:type="pct"/>
            <w:gridSpan w:val="2"/>
            <w:shd w:val="clear" w:color="auto" w:fill="auto"/>
            <w:vAlign w:val="center"/>
          </w:tcPr>
          <w:p w14:paraId="0BF094B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25" w:type="pct"/>
            <w:shd w:val="clear" w:color="auto" w:fill="auto"/>
            <w:vAlign w:val="center"/>
          </w:tcPr>
          <w:p w14:paraId="2786818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99" w:type="pct"/>
            <w:gridSpan w:val="2"/>
            <w:shd w:val="clear" w:color="auto" w:fill="auto"/>
            <w:vAlign w:val="center"/>
          </w:tcPr>
          <w:p w14:paraId="6E240FB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83" w:type="pct"/>
            <w:gridSpan w:val="2"/>
            <w:shd w:val="clear" w:color="auto" w:fill="auto"/>
            <w:vAlign w:val="center"/>
          </w:tcPr>
          <w:p w14:paraId="787B494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94" w:type="pct"/>
            <w:gridSpan w:val="2"/>
            <w:shd w:val="clear" w:color="auto" w:fill="auto"/>
            <w:vAlign w:val="center"/>
          </w:tcPr>
          <w:p w14:paraId="2CB7F1C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52975D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39" w:type="pct"/>
            <w:vMerge w:val="continue"/>
            <w:vAlign w:val="center"/>
          </w:tcPr>
          <w:p w14:paraId="2D506AF0">
            <w:pPr>
              <w:widowControl/>
              <w:jc w:val="left"/>
              <w:rPr>
                <w:rFonts w:hint="eastAsia" w:ascii="宋体" w:hAnsi="宋体" w:cs="宋体"/>
                <w:color w:val="000000"/>
                <w:kern w:val="0"/>
                <w:sz w:val="20"/>
                <w:szCs w:val="20"/>
              </w:rPr>
            </w:pPr>
          </w:p>
        </w:tc>
        <w:tc>
          <w:tcPr>
            <w:tcW w:w="241" w:type="pct"/>
            <w:shd w:val="clear" w:color="auto" w:fill="auto"/>
            <w:vAlign w:val="center"/>
          </w:tcPr>
          <w:p w14:paraId="012349E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420" w:type="pct"/>
            <w:shd w:val="clear" w:color="auto" w:fill="auto"/>
            <w:vAlign w:val="center"/>
          </w:tcPr>
          <w:p w14:paraId="41D654F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995" w:type="pct"/>
            <w:gridSpan w:val="2"/>
            <w:shd w:val="clear" w:color="auto" w:fill="auto"/>
            <w:noWrap/>
            <w:vAlign w:val="center"/>
          </w:tcPr>
          <w:p w14:paraId="568771B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受益群众满意度</w:t>
            </w:r>
          </w:p>
        </w:tc>
        <w:tc>
          <w:tcPr>
            <w:tcW w:w="999" w:type="pct"/>
            <w:gridSpan w:val="2"/>
            <w:shd w:val="clear" w:color="auto" w:fill="auto"/>
            <w:vAlign w:val="center"/>
          </w:tcPr>
          <w:p w14:paraId="2522257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25" w:type="pct"/>
            <w:shd w:val="clear" w:color="auto" w:fill="auto"/>
            <w:vAlign w:val="center"/>
          </w:tcPr>
          <w:p w14:paraId="2A04119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299" w:type="pct"/>
            <w:gridSpan w:val="2"/>
            <w:shd w:val="clear" w:color="auto" w:fill="auto"/>
            <w:vAlign w:val="center"/>
          </w:tcPr>
          <w:p w14:paraId="79245D2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83" w:type="pct"/>
            <w:gridSpan w:val="2"/>
            <w:shd w:val="clear" w:color="auto" w:fill="auto"/>
            <w:vAlign w:val="center"/>
          </w:tcPr>
          <w:p w14:paraId="0317301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94" w:type="pct"/>
            <w:gridSpan w:val="2"/>
            <w:shd w:val="clear" w:color="auto" w:fill="auto"/>
            <w:vAlign w:val="center"/>
          </w:tcPr>
          <w:p w14:paraId="2B9D74D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7F9FCB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3621" w:type="pct"/>
            <w:gridSpan w:val="8"/>
            <w:shd w:val="clear" w:color="auto" w:fill="auto"/>
            <w:vAlign w:val="center"/>
          </w:tcPr>
          <w:p w14:paraId="13DE83B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299" w:type="pct"/>
            <w:gridSpan w:val="2"/>
            <w:shd w:val="clear" w:color="auto" w:fill="auto"/>
            <w:vAlign w:val="center"/>
          </w:tcPr>
          <w:p w14:paraId="5A70647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383" w:type="pct"/>
            <w:gridSpan w:val="2"/>
            <w:shd w:val="clear" w:color="auto" w:fill="auto"/>
            <w:vAlign w:val="center"/>
          </w:tcPr>
          <w:p w14:paraId="24CBFB2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94.3分</w:t>
            </w:r>
          </w:p>
        </w:tc>
        <w:tc>
          <w:tcPr>
            <w:tcW w:w="694" w:type="pct"/>
            <w:gridSpan w:val="2"/>
            <w:shd w:val="clear" w:color="auto" w:fill="auto"/>
            <w:vAlign w:val="center"/>
          </w:tcPr>
          <w:p w14:paraId="406F0F0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bl>
    <w:p w14:paraId="3061AA50">
      <w:pPr>
        <w:ind w:firstLine="643" w:firstLineChars="200"/>
        <w:jc w:val="left"/>
        <w:rPr>
          <w:rFonts w:hint="eastAsia" w:ascii="仿宋_GB2312" w:hAnsi="仿宋_GB2312" w:eastAsia="仿宋_GB2312" w:cs="仿宋_GB2312"/>
          <w:b/>
          <w:bCs/>
          <w:kern w:val="0"/>
          <w:sz w:val="32"/>
          <w:szCs w:val="32"/>
          <w:lang w:eastAsia="zh-Hans"/>
        </w:rPr>
      </w:pPr>
    </w:p>
    <w:p w14:paraId="2DCF8D37">
      <w:pPr>
        <w:ind w:firstLine="640" w:firstLineChars="200"/>
        <w:jc w:val="left"/>
        <w:rPr>
          <w:rFonts w:hint="eastAsia" w:ascii="黑体" w:hAnsi="黑体" w:eastAsia="黑体" w:cs="宋体"/>
          <w:bCs/>
          <w:kern w:val="0"/>
          <w:sz w:val="32"/>
          <w:szCs w:val="32"/>
        </w:rPr>
      </w:pPr>
      <w:r>
        <w:rPr>
          <w:rFonts w:hint="eastAsia" w:ascii="黑体" w:hAnsi="黑体" w:eastAsia="黑体" w:cs="宋体"/>
          <w:bCs/>
          <w:kern w:val="0"/>
          <w:sz w:val="32"/>
          <w:szCs w:val="32"/>
        </w:rPr>
        <w:t>十二、其他需说明的事项</w:t>
      </w:r>
    </w:p>
    <w:p w14:paraId="0E693BC5">
      <w:pPr>
        <w:ind w:firstLine="640" w:firstLineChars="200"/>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本单位无其他需说明事项。</w:t>
      </w:r>
    </w:p>
    <w:p w14:paraId="76269E4C">
      <w:pPr>
        <w:jc w:val="center"/>
        <w:outlineLvl w:val="0"/>
        <w:rPr>
          <w:rFonts w:hint="eastAsia" w:ascii="黑体" w:hAnsi="黑体" w:eastAsia="黑体"/>
          <w:sz w:val="32"/>
          <w:szCs w:val="32"/>
        </w:rPr>
      </w:pPr>
      <w:bookmarkStart w:id="30" w:name="_Toc24143"/>
      <w:bookmarkStart w:id="31" w:name="_Toc3250"/>
      <w:r>
        <w:rPr>
          <w:rFonts w:hint="eastAsia" w:ascii="黑体" w:hAnsi="黑体" w:eastAsia="黑体"/>
          <w:sz w:val="32"/>
          <w:szCs w:val="32"/>
        </w:rPr>
        <w:br w:type="page"/>
      </w:r>
      <w:r>
        <w:rPr>
          <w:rFonts w:hint="eastAsia" w:ascii="黑体" w:hAnsi="黑体" w:eastAsia="黑体"/>
          <w:sz w:val="32"/>
          <w:szCs w:val="32"/>
        </w:rPr>
        <w:t>第三部分 专业名词解释</w:t>
      </w:r>
      <w:bookmarkEnd w:id="30"/>
      <w:bookmarkEnd w:id="31"/>
    </w:p>
    <w:p w14:paraId="4293D07B">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一、财政拨款收入：</w:t>
      </w:r>
      <w:r>
        <w:rPr>
          <w:rFonts w:hint="eastAsia" w:ascii="仿宋_GB2312" w:eastAsia="仿宋_GB2312"/>
          <w:sz w:val="32"/>
          <w:szCs w:val="32"/>
        </w:rPr>
        <w:t>指同级财政当年拨付的资金。</w:t>
      </w:r>
    </w:p>
    <w:p w14:paraId="3BB1D6BA">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二、上级补助收入：</w:t>
      </w:r>
      <w:r>
        <w:rPr>
          <w:rFonts w:hint="eastAsia" w:ascii="仿宋_GB2312" w:eastAsia="仿宋_GB2312"/>
          <w:sz w:val="32"/>
          <w:szCs w:val="32"/>
        </w:rPr>
        <w:t>指事业单位从主管部门和上级单位取得的非财政补助收入。</w:t>
      </w:r>
    </w:p>
    <w:p w14:paraId="30876175">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三、事业收入：</w:t>
      </w:r>
      <w:r>
        <w:rPr>
          <w:rFonts w:hint="eastAsia" w:ascii="仿宋_GB2312" w:eastAsia="仿宋_GB2312"/>
          <w:sz w:val="32"/>
          <w:szCs w:val="32"/>
        </w:rPr>
        <w:t>指事业单位开展专业业务活动及其辅助活动所取得的收入。</w:t>
      </w:r>
    </w:p>
    <w:p w14:paraId="54B28EB5">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四、经营收入：</w:t>
      </w:r>
      <w:r>
        <w:rPr>
          <w:rFonts w:hint="eastAsia" w:ascii="仿宋_GB2312" w:eastAsia="仿宋_GB2312"/>
          <w:sz w:val="32"/>
          <w:szCs w:val="32"/>
        </w:rPr>
        <w:t>指事业单位在专业业务活动及其辅助活动之外开展非独立核算经营活动取得的收入。</w:t>
      </w:r>
    </w:p>
    <w:p w14:paraId="6119A159">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五、附属单位上缴收入：</w:t>
      </w:r>
      <w:r>
        <w:rPr>
          <w:rFonts w:hint="eastAsia" w:ascii="仿宋_GB2312" w:eastAsia="仿宋_GB2312"/>
          <w:sz w:val="32"/>
          <w:szCs w:val="32"/>
        </w:rPr>
        <w:t>指事业单位附属的独立核算单位按有关规定上缴的收入。</w:t>
      </w:r>
    </w:p>
    <w:p w14:paraId="2F4FCD3E">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六、其他收入：</w:t>
      </w:r>
      <w:r>
        <w:rPr>
          <w:rFonts w:hint="eastAsia" w:ascii="仿宋_GB2312" w:eastAsia="仿宋_GB2312"/>
          <w:sz w:val="32"/>
          <w:szCs w:val="32"/>
        </w:rPr>
        <w:t>指除上述“财政拨款收入”、“事业收入”、“经营收入”、“附属单位上缴收入”等之外取得的收入。</w:t>
      </w:r>
    </w:p>
    <w:p w14:paraId="23818B4F">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七、年初结转和结余：</w:t>
      </w:r>
      <w:r>
        <w:rPr>
          <w:rFonts w:hint="eastAsia" w:ascii="仿宋_GB2312" w:eastAsia="仿宋_GB2312"/>
          <w:sz w:val="32"/>
          <w:szCs w:val="32"/>
        </w:rPr>
        <w:t>指以前年度支出预算因客观条件变化未执行完毕、结转到本年度按有关规定继续使用的资金，既包括财政拨款结转和结余，也包括事业收入、经营收入、其他收入的结转和结余。</w:t>
      </w:r>
    </w:p>
    <w:p w14:paraId="3BCA09A0">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八、年末结转和结余：</w:t>
      </w:r>
      <w:r>
        <w:rPr>
          <w:rFonts w:hint="eastAsia" w:ascii="仿宋_GB2312" w:eastAsia="仿宋_GB2312"/>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50E0143E">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九、基本支出：</w:t>
      </w:r>
      <w:r>
        <w:rPr>
          <w:rFonts w:hint="eastAsia" w:ascii="仿宋_GB2312" w:eastAsia="仿宋_GB2312"/>
          <w:sz w:val="32"/>
          <w:szCs w:val="32"/>
        </w:rPr>
        <w:t>指为保障机构正常运转、完成日常工作任务而发生的人员支出和公用支出。</w:t>
      </w:r>
    </w:p>
    <w:p w14:paraId="3F75758D">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十、项目支出：</w:t>
      </w:r>
      <w:r>
        <w:rPr>
          <w:rFonts w:hint="eastAsia" w:ascii="仿宋_GB2312" w:eastAsia="仿宋_GB2312"/>
          <w:sz w:val="32"/>
          <w:szCs w:val="32"/>
        </w:rPr>
        <w:t>指在基本支出之外为完成特定行政任务和事业发展目标所发生的支出。</w:t>
      </w:r>
    </w:p>
    <w:p w14:paraId="182B72B3">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十一、经营支出：</w:t>
      </w:r>
      <w:r>
        <w:rPr>
          <w:rFonts w:hint="eastAsia" w:ascii="仿宋_GB2312" w:eastAsia="仿宋_GB2312"/>
          <w:sz w:val="32"/>
          <w:szCs w:val="32"/>
        </w:rPr>
        <w:t>指事业单位在专业业务活动及其辅助活动之外开展非独立核算经营活动发生的支出。</w:t>
      </w:r>
    </w:p>
    <w:p w14:paraId="55DBF3A6">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十二、对附属单位补助支出：</w:t>
      </w:r>
      <w:r>
        <w:rPr>
          <w:rFonts w:hint="eastAsia" w:ascii="仿宋_GB2312" w:eastAsia="仿宋_GB2312"/>
          <w:sz w:val="32"/>
          <w:szCs w:val="32"/>
        </w:rPr>
        <w:t>指事业单位发生的用非财政预算资金对附属单位的补助支出。</w:t>
      </w:r>
    </w:p>
    <w:p w14:paraId="721F111A">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十三、“三公”经费：</w:t>
      </w:r>
      <w:r>
        <w:rPr>
          <w:rFonts w:hint="eastAsia" w:ascii="仿宋_GB2312" w:eastAsia="仿宋_GB2312"/>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2CDFFE91">
      <w:pPr>
        <w:ind w:firstLine="643" w:firstLineChars="200"/>
        <w:rPr>
          <w:rFonts w:ascii="仿宋_GB2312" w:eastAsia="仿宋_GB2312"/>
          <w:sz w:val="32"/>
          <w:szCs w:val="32"/>
        </w:rPr>
      </w:pPr>
      <w:r>
        <w:rPr>
          <w:rFonts w:hint="eastAsia" w:ascii="仿宋_GB2312" w:eastAsia="仿宋_GB2312"/>
          <w:b/>
          <w:bCs/>
          <w:sz w:val="32"/>
          <w:szCs w:val="32"/>
        </w:rPr>
        <w:t>十四、机关运行经费：</w:t>
      </w:r>
      <w:r>
        <w:rPr>
          <w:rFonts w:hint="eastAsia" w:ascii="仿宋_GB2312" w:eastAsia="仿宋_GB2312"/>
          <w:sz w:val="32"/>
          <w:szCs w:val="32"/>
        </w:rPr>
        <w:t>行政单位和参照公务员法管理的事业单位财政拨款基本支出中的公用经费支出。</w:t>
      </w:r>
    </w:p>
    <w:p w14:paraId="2835DEB6">
      <w:pPr>
        <w:ind w:firstLine="640" w:firstLineChars="200"/>
        <w:jc w:val="center"/>
        <w:outlineLvl w:val="0"/>
        <w:rPr>
          <w:rFonts w:hint="eastAsia" w:ascii="黑体" w:hAnsi="黑体" w:eastAsia="黑体"/>
          <w:sz w:val="32"/>
          <w:szCs w:val="32"/>
        </w:rPr>
      </w:pPr>
      <w:r>
        <w:rPr>
          <w:rFonts w:hint="eastAsia" w:ascii="仿宋_GB2312" w:eastAsia="仿宋_GB2312"/>
          <w:sz w:val="32"/>
          <w:szCs w:val="32"/>
        </w:rPr>
        <w:br w:type="page"/>
      </w:r>
      <w:r>
        <w:rPr>
          <w:rFonts w:hint="eastAsia" w:ascii="黑体" w:hAnsi="黑体" w:eastAsia="黑体"/>
          <w:sz w:val="32"/>
          <w:szCs w:val="32"/>
        </w:rPr>
        <w:t>第四部分 部门决算报表（见附表）</w:t>
      </w:r>
    </w:p>
    <w:p w14:paraId="35ADC462">
      <w:pPr>
        <w:ind w:firstLine="640" w:firstLineChars="200"/>
        <w:outlineLvl w:val="1"/>
        <w:rPr>
          <w:rFonts w:hint="eastAsia" w:ascii="黑体" w:hAnsi="黑体" w:eastAsia="仿宋_GB2312" w:cs="宋体"/>
          <w:bCs/>
          <w:kern w:val="0"/>
          <w:sz w:val="32"/>
          <w:szCs w:val="32"/>
        </w:rPr>
      </w:pPr>
      <w:bookmarkStart w:id="32" w:name="_Toc6062"/>
      <w:bookmarkStart w:id="33" w:name="_Toc2183"/>
      <w:r>
        <w:rPr>
          <w:rFonts w:hint="eastAsia" w:ascii="黑体" w:hAnsi="黑体" w:eastAsia="仿宋_GB2312" w:cs="宋体"/>
          <w:bCs/>
          <w:kern w:val="0"/>
          <w:sz w:val="32"/>
          <w:szCs w:val="32"/>
        </w:rPr>
        <w:t>一、《收入支出决算总表》</w:t>
      </w:r>
      <w:bookmarkEnd w:id="32"/>
      <w:bookmarkEnd w:id="33"/>
    </w:p>
    <w:p w14:paraId="6653BC64">
      <w:pPr>
        <w:ind w:firstLine="640" w:firstLineChars="200"/>
        <w:outlineLvl w:val="1"/>
        <w:rPr>
          <w:rFonts w:hint="eastAsia" w:ascii="黑体" w:hAnsi="黑体" w:eastAsia="仿宋_GB2312" w:cs="宋体"/>
          <w:bCs/>
          <w:kern w:val="0"/>
          <w:sz w:val="32"/>
          <w:szCs w:val="32"/>
        </w:rPr>
      </w:pPr>
      <w:bookmarkStart w:id="34" w:name="_Toc24532"/>
      <w:bookmarkStart w:id="35" w:name="_Toc30364"/>
      <w:r>
        <w:rPr>
          <w:rFonts w:hint="eastAsia" w:ascii="黑体" w:hAnsi="黑体" w:eastAsia="仿宋_GB2312" w:cs="宋体"/>
          <w:bCs/>
          <w:kern w:val="0"/>
          <w:sz w:val="32"/>
          <w:szCs w:val="32"/>
        </w:rPr>
        <w:t>二、《收入决算表》</w:t>
      </w:r>
      <w:bookmarkEnd w:id="34"/>
      <w:bookmarkEnd w:id="35"/>
    </w:p>
    <w:p w14:paraId="356F2B89">
      <w:pPr>
        <w:ind w:firstLine="640" w:firstLineChars="200"/>
        <w:outlineLvl w:val="1"/>
        <w:rPr>
          <w:rFonts w:hint="eastAsia" w:ascii="黑体" w:hAnsi="黑体" w:eastAsia="仿宋_GB2312" w:cs="宋体"/>
          <w:bCs/>
          <w:kern w:val="0"/>
          <w:sz w:val="32"/>
          <w:szCs w:val="32"/>
        </w:rPr>
      </w:pPr>
      <w:bookmarkStart w:id="36" w:name="_Toc21304"/>
      <w:bookmarkStart w:id="37" w:name="_Toc32434"/>
      <w:r>
        <w:rPr>
          <w:rFonts w:hint="eastAsia" w:ascii="黑体" w:hAnsi="黑体" w:eastAsia="仿宋_GB2312" w:cs="宋体"/>
          <w:bCs/>
          <w:kern w:val="0"/>
          <w:sz w:val="32"/>
          <w:szCs w:val="32"/>
        </w:rPr>
        <w:t>三、《支出决算表》</w:t>
      </w:r>
      <w:bookmarkEnd w:id="36"/>
      <w:bookmarkEnd w:id="37"/>
    </w:p>
    <w:p w14:paraId="04E5ED22">
      <w:pPr>
        <w:ind w:firstLine="640" w:firstLineChars="200"/>
        <w:outlineLvl w:val="1"/>
        <w:rPr>
          <w:rFonts w:hint="eastAsia" w:ascii="黑体" w:hAnsi="黑体" w:eastAsia="仿宋_GB2312" w:cs="宋体"/>
          <w:bCs/>
          <w:kern w:val="0"/>
          <w:sz w:val="32"/>
          <w:szCs w:val="32"/>
        </w:rPr>
      </w:pPr>
      <w:bookmarkStart w:id="38" w:name="_Toc28786"/>
      <w:bookmarkStart w:id="39" w:name="_Toc14238"/>
      <w:r>
        <w:rPr>
          <w:rFonts w:hint="eastAsia" w:ascii="黑体" w:hAnsi="黑体" w:eastAsia="仿宋_GB2312" w:cs="宋体"/>
          <w:bCs/>
          <w:kern w:val="0"/>
          <w:sz w:val="32"/>
          <w:szCs w:val="32"/>
        </w:rPr>
        <w:t>四、《财政拨款收入支出决算总表》</w:t>
      </w:r>
      <w:bookmarkEnd w:id="38"/>
      <w:bookmarkEnd w:id="39"/>
    </w:p>
    <w:p w14:paraId="03C6D3F9">
      <w:pPr>
        <w:ind w:firstLine="640" w:firstLineChars="200"/>
        <w:outlineLvl w:val="1"/>
        <w:rPr>
          <w:rFonts w:hint="eastAsia" w:ascii="黑体" w:hAnsi="黑体" w:eastAsia="仿宋_GB2312" w:cs="宋体"/>
          <w:bCs/>
          <w:kern w:val="0"/>
          <w:sz w:val="32"/>
          <w:szCs w:val="32"/>
        </w:rPr>
      </w:pPr>
      <w:bookmarkStart w:id="40" w:name="_Toc14869"/>
      <w:bookmarkStart w:id="41" w:name="_Toc10347"/>
      <w:r>
        <w:rPr>
          <w:rFonts w:hint="eastAsia" w:ascii="黑体" w:hAnsi="黑体" w:eastAsia="仿宋_GB2312" w:cs="宋体"/>
          <w:bCs/>
          <w:kern w:val="0"/>
          <w:sz w:val="32"/>
          <w:szCs w:val="32"/>
        </w:rPr>
        <w:t>五、《一般公共预算财政拨款支出决算表》</w:t>
      </w:r>
      <w:bookmarkEnd w:id="40"/>
      <w:bookmarkEnd w:id="41"/>
    </w:p>
    <w:p w14:paraId="7DBEA7C8">
      <w:pPr>
        <w:ind w:firstLine="640" w:firstLineChars="200"/>
        <w:outlineLvl w:val="1"/>
        <w:rPr>
          <w:rFonts w:hint="eastAsia" w:ascii="黑体" w:hAnsi="黑体" w:eastAsia="仿宋_GB2312" w:cs="宋体"/>
          <w:bCs/>
          <w:kern w:val="0"/>
          <w:sz w:val="32"/>
          <w:szCs w:val="32"/>
        </w:rPr>
      </w:pPr>
      <w:bookmarkStart w:id="42" w:name="_Toc8884"/>
      <w:bookmarkStart w:id="43" w:name="_Toc5626"/>
      <w:r>
        <w:rPr>
          <w:rFonts w:hint="eastAsia" w:ascii="黑体" w:hAnsi="黑体" w:eastAsia="仿宋_GB2312" w:cs="宋体"/>
          <w:bCs/>
          <w:kern w:val="0"/>
          <w:sz w:val="32"/>
          <w:szCs w:val="32"/>
        </w:rPr>
        <w:t>六、《一般公共预算财政拨款基本支出决算表》</w:t>
      </w:r>
      <w:bookmarkEnd w:id="42"/>
      <w:bookmarkEnd w:id="43"/>
    </w:p>
    <w:p w14:paraId="1637A9EE">
      <w:pPr>
        <w:ind w:firstLine="640" w:firstLineChars="200"/>
        <w:outlineLvl w:val="1"/>
        <w:rPr>
          <w:rFonts w:hint="eastAsia" w:ascii="黑体" w:hAnsi="黑体" w:eastAsia="仿宋_GB2312" w:cs="宋体"/>
          <w:bCs/>
          <w:kern w:val="0"/>
          <w:sz w:val="32"/>
          <w:szCs w:val="32"/>
        </w:rPr>
      </w:pPr>
      <w:r>
        <w:rPr>
          <w:rFonts w:hint="eastAsia" w:ascii="黑体" w:hAnsi="黑体" w:eastAsia="仿宋_GB2312" w:cs="宋体"/>
          <w:bCs/>
          <w:kern w:val="0"/>
          <w:sz w:val="32"/>
          <w:szCs w:val="32"/>
        </w:rPr>
        <w:t>七、</w:t>
      </w:r>
      <w:bookmarkStart w:id="44" w:name="_Toc29106"/>
      <w:bookmarkStart w:id="45" w:name="_Toc32663"/>
      <w:r>
        <w:rPr>
          <w:rFonts w:hint="eastAsia" w:ascii="黑体" w:hAnsi="黑体" w:eastAsia="仿宋_GB2312" w:cs="宋体"/>
          <w:bCs/>
          <w:kern w:val="0"/>
          <w:sz w:val="32"/>
          <w:szCs w:val="32"/>
        </w:rPr>
        <w:t>《财政拨款“三公”经费支出决算表》</w:t>
      </w:r>
      <w:bookmarkEnd w:id="44"/>
      <w:bookmarkEnd w:id="45"/>
    </w:p>
    <w:p w14:paraId="707ED61E">
      <w:pPr>
        <w:ind w:firstLine="640" w:firstLineChars="200"/>
        <w:outlineLvl w:val="1"/>
        <w:rPr>
          <w:rFonts w:hint="eastAsia" w:ascii="黑体" w:hAnsi="黑体" w:eastAsia="仿宋_GB2312" w:cs="宋体"/>
          <w:bCs/>
          <w:kern w:val="0"/>
          <w:sz w:val="32"/>
          <w:szCs w:val="32"/>
        </w:rPr>
      </w:pPr>
      <w:bookmarkStart w:id="46" w:name="_Toc7643"/>
      <w:bookmarkStart w:id="47" w:name="_Toc5453"/>
      <w:r>
        <w:rPr>
          <w:rFonts w:hint="eastAsia" w:ascii="黑体" w:hAnsi="黑体" w:eastAsia="仿宋_GB2312" w:cs="宋体"/>
          <w:bCs/>
          <w:kern w:val="0"/>
          <w:sz w:val="32"/>
          <w:szCs w:val="32"/>
        </w:rPr>
        <w:t>八、《政府性基金预算财政拨款收入支出决算表》</w:t>
      </w:r>
      <w:bookmarkEnd w:id="46"/>
      <w:bookmarkEnd w:id="47"/>
    </w:p>
    <w:p w14:paraId="4CE921C0">
      <w:pPr>
        <w:ind w:firstLine="640" w:firstLineChars="200"/>
        <w:outlineLvl w:val="1"/>
        <w:rPr>
          <w:rFonts w:hint="eastAsia" w:ascii="黑体" w:hAnsi="黑体" w:eastAsia="仿宋_GB2312" w:cs="宋体"/>
          <w:bCs/>
          <w:kern w:val="0"/>
          <w:sz w:val="32"/>
          <w:szCs w:val="32"/>
        </w:rPr>
      </w:pPr>
      <w:r>
        <w:rPr>
          <w:rFonts w:hint="eastAsia" w:ascii="黑体" w:hAnsi="黑体" w:eastAsia="仿宋_GB2312" w:cs="宋体"/>
          <w:bCs/>
          <w:kern w:val="0"/>
          <w:sz w:val="32"/>
          <w:szCs w:val="32"/>
        </w:rPr>
        <w:t>九、《国有资本经营预算财政拨款收入支出决算表》</w:t>
      </w:r>
    </w:p>
    <w:p w14:paraId="26C0AF79">
      <w:pPr>
        <w:ind w:firstLine="640" w:firstLineChars="200"/>
        <w:rPr>
          <w:rFonts w:ascii="仿宋_GB2312" w:eastAsia="仿宋_GB2312"/>
          <w:sz w:val="32"/>
          <w:szCs w:val="32"/>
        </w:rPr>
      </w:pPr>
    </w:p>
    <w:p w14:paraId="49187DF0">
      <w:pPr>
        <w:ind w:firstLine="640" w:firstLineChars="200"/>
        <w:outlineLvl w:val="1"/>
        <w:rPr>
          <w:rFonts w:hint="eastAsia" w:ascii="黑体" w:hAnsi="黑体" w:eastAsia="黑体" w:cs="宋体"/>
          <w:bCs/>
          <w:kern w:val="0"/>
          <w:sz w:val="32"/>
          <w:szCs w:val="32"/>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3000509000000000000"/>
    <w:charset w:val="86"/>
    <w:family w:val="script"/>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550648">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031DE6F8">
                          <w:pPr>
                            <w:pStyle w:val="4"/>
                          </w:pPr>
                          <w:r>
                            <w:rPr>
                              <w:rFonts w:hint="eastAsia"/>
                            </w:rPr>
                            <w:fldChar w:fldCharType="begin"/>
                          </w:r>
                          <w:r>
                            <w:rPr>
                              <w:rFonts w:hint="eastAsia"/>
                            </w:rPr>
                            <w:instrText xml:space="preserve"> PAGE  \* MERGEFORMAT </w:instrText>
                          </w:r>
                          <w:r>
                            <w:rPr>
                              <w:rFonts w:hint="eastAsia"/>
                            </w:rPr>
                            <w:fldChar w:fldCharType="separate"/>
                          </w:r>
                          <w:r>
                            <w:t>19</w:t>
                          </w:r>
                          <w:r>
                            <w:rPr>
                              <w:rFonts w:hint="eastAsia"/>
                            </w:rPr>
                            <w:fldChar w:fldCharType="end"/>
                          </w:r>
                        </w:p>
                      </w:txbxContent>
                    </wps:txbx>
                    <wps:bodyPr vert="horz" wrap="none" lIns="0" tIns="0" rIns="0" bIns="0" anchor="t" anchorCtr="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DOqXm5zwAAAAUBAAAPAAAAAAAAAAEAIAAAACIAAABk&#10;cnMvZG93bnJldi54bWxQSwECFAAUAAAACACHTuJA6rY5ptYBAACyAwAADgAAAAAAAAABACAAAAAe&#10;AQAAZHJzL2Uyb0RvYy54bWxQSwUGAAAAAAYABgBZAQAAZgUAAAAA&#10;">
              <v:fill on="f" focussize="0,0"/>
              <v:stroke on="f"/>
              <v:imagedata o:title=""/>
              <o:lock v:ext="edit" aspectratio="f"/>
              <v:textbox inset="0mm,0mm,0mm,0mm" style="mso-fit-shape-to-text:t;">
                <w:txbxContent>
                  <w:p w14:paraId="031DE6F8">
                    <w:pPr>
                      <w:pStyle w:val="4"/>
                    </w:pPr>
                    <w:r>
                      <w:rPr>
                        <w:rFonts w:hint="eastAsia"/>
                      </w:rPr>
                      <w:fldChar w:fldCharType="begin"/>
                    </w:r>
                    <w:r>
                      <w:rPr>
                        <w:rFonts w:hint="eastAsia"/>
                      </w:rPr>
                      <w:instrText xml:space="preserve"> PAGE  \* MERGEFORMAT </w:instrText>
                    </w:r>
                    <w:r>
                      <w:rPr>
                        <w:rFonts w:hint="eastAsia"/>
                      </w:rPr>
                      <w:fldChar w:fldCharType="separate"/>
                    </w:r>
                    <w:r>
                      <w:t>19</w:t>
                    </w:r>
                    <w:r>
                      <w:rPr>
                        <w:rFonts w:hint="eastAsia"/>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YzZDQ1MzgxMjczNzMwZjc0NmVkMzY5NzhjMWY5MmQifQ=="/>
    <w:docVar w:name="KSO_WPS_MARK_KEY" w:val="41ee2a61-2d54-4f93-83be-afdb9a40d732"/>
  </w:docVars>
  <w:rsids>
    <w:rsidRoot w:val="00E53E19"/>
    <w:rsid w:val="000C27B1"/>
    <w:rsid w:val="000D5538"/>
    <w:rsid w:val="00213C59"/>
    <w:rsid w:val="002A5BA7"/>
    <w:rsid w:val="003210CE"/>
    <w:rsid w:val="00472CCC"/>
    <w:rsid w:val="00525257"/>
    <w:rsid w:val="00623A8A"/>
    <w:rsid w:val="006D2555"/>
    <w:rsid w:val="00714C9E"/>
    <w:rsid w:val="00761EEB"/>
    <w:rsid w:val="007F08BA"/>
    <w:rsid w:val="009A6EEF"/>
    <w:rsid w:val="009E4752"/>
    <w:rsid w:val="00B70D59"/>
    <w:rsid w:val="00C46878"/>
    <w:rsid w:val="00DF5528"/>
    <w:rsid w:val="00E3045C"/>
    <w:rsid w:val="00E53E19"/>
    <w:rsid w:val="00EA7CE0"/>
    <w:rsid w:val="00F519C5"/>
    <w:rsid w:val="00F52A8D"/>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9C317F"/>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204181"/>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unhideWhenUsed/>
    <w:uiPriority w:val="1"/>
  </w:style>
  <w:style w:type="table" w:default="1" w:styleId="9">
    <w:name w:val="Normal Table"/>
    <w:semiHidden/>
    <w:unhideWhenUsed/>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Normal (Web)"/>
    <w:basedOn w:val="1"/>
    <w:qFormat/>
    <w:uiPriority w:val="0"/>
    <w:pPr>
      <w:spacing w:before="100" w:beforeAutospacing="1" w:after="100" w:afterAutospacing="1"/>
      <w:jc w:val="left"/>
    </w:pPr>
    <w:rPr>
      <w:kern w:val="0"/>
      <w:sz w:val="24"/>
    </w:rPr>
  </w:style>
  <w:style w:type="character" w:styleId="11">
    <w:name w:val="Strong"/>
    <w:basedOn w:val="10"/>
    <w:qFormat/>
    <w:uiPriority w:val="0"/>
    <w:rPr>
      <w:b/>
    </w:rPr>
  </w:style>
  <w:style w:type="paragraph" w:customStyle="1" w:styleId="12">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3">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4">
    <w:name w:val="WPSOffice手动目录 1"/>
    <w:qFormat/>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22</Pages>
  <Words>6082</Words>
  <Characters>6964</Characters>
  <Lines>71</Lines>
  <Paragraphs>20</Paragraphs>
  <TotalTime>51</TotalTime>
  <ScaleCrop>false</ScaleCrop>
  <LinksUpToDate>false</LinksUpToDate>
  <CharactersWithSpaces>6973</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杜里里oppo</cp:lastModifiedBy>
  <dcterms:modified xsi:type="dcterms:W3CDTF">2024-11-12T10:53:41Z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D624B15633CD43C8BF9435464A96BF70</vt:lpwstr>
  </property>
</Properties>
</file>